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A1990" w14:textId="41BAF5D2" w:rsidR="004C6F0C" w:rsidRPr="00B243AB" w:rsidRDefault="00EC2DF0">
      <w:pPr>
        <w:rPr>
          <w:b/>
          <w:bCs/>
        </w:rPr>
      </w:pPr>
      <w:r w:rsidRPr="00B243AB">
        <w:rPr>
          <w:b/>
          <w:bCs/>
        </w:rPr>
        <w:t>Dementia Support Worker</w:t>
      </w:r>
    </w:p>
    <w:p w14:paraId="0B87D667" w14:textId="2E8B0C28" w:rsidR="00EC2DF0" w:rsidRPr="00B243AB" w:rsidRDefault="00EC2DF0">
      <w:pPr>
        <w:rPr>
          <w:b/>
          <w:bCs/>
        </w:rPr>
      </w:pPr>
      <w:r w:rsidRPr="00B243AB">
        <w:rPr>
          <w:b/>
          <w:bCs/>
        </w:rPr>
        <w:t>Job Description</w:t>
      </w:r>
    </w:p>
    <w:p w14:paraId="630C1DB1" w14:textId="77777777" w:rsidR="00EC2DF0" w:rsidRDefault="00EC2D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EC2DF0" w14:paraId="3445676F" w14:textId="77777777" w:rsidTr="00EC2DF0">
        <w:tc>
          <w:tcPr>
            <w:tcW w:w="1980" w:type="dxa"/>
          </w:tcPr>
          <w:p w14:paraId="26F58671" w14:textId="5096EB1F" w:rsidR="00EC2DF0" w:rsidRDefault="00EC2DF0">
            <w:r>
              <w:t>Role Title</w:t>
            </w:r>
            <w:r w:rsidR="00B243AB">
              <w:t>:</w:t>
            </w:r>
          </w:p>
        </w:tc>
        <w:tc>
          <w:tcPr>
            <w:tcW w:w="7036" w:type="dxa"/>
          </w:tcPr>
          <w:p w14:paraId="34336F66" w14:textId="014BED81" w:rsidR="00EC2DF0" w:rsidRDefault="00EC2DF0">
            <w:r>
              <w:t>Dementia Support Worker</w:t>
            </w:r>
          </w:p>
        </w:tc>
      </w:tr>
      <w:tr w:rsidR="00EC2DF0" w14:paraId="0AD9F9F1" w14:textId="77777777" w:rsidTr="00EC2DF0">
        <w:tc>
          <w:tcPr>
            <w:tcW w:w="1980" w:type="dxa"/>
          </w:tcPr>
          <w:p w14:paraId="659DDCD2" w14:textId="77E43D9E" w:rsidR="00EC2DF0" w:rsidRDefault="00EC2DF0">
            <w:r>
              <w:t xml:space="preserve">Reporting to: </w:t>
            </w:r>
          </w:p>
        </w:tc>
        <w:tc>
          <w:tcPr>
            <w:tcW w:w="7036" w:type="dxa"/>
          </w:tcPr>
          <w:p w14:paraId="742D59C6" w14:textId="78A4864B" w:rsidR="00EC2DF0" w:rsidRDefault="00EC2DF0">
            <w:r>
              <w:t>Community Development Manager</w:t>
            </w:r>
          </w:p>
        </w:tc>
      </w:tr>
      <w:tr w:rsidR="00EC2DF0" w14:paraId="160027B1" w14:textId="77777777" w:rsidTr="00EC2DF0">
        <w:tc>
          <w:tcPr>
            <w:tcW w:w="1980" w:type="dxa"/>
          </w:tcPr>
          <w:p w14:paraId="67565383" w14:textId="01E2E6F3" w:rsidR="00EC2DF0" w:rsidRDefault="00EC2DF0">
            <w:r>
              <w:t xml:space="preserve">Workplace: </w:t>
            </w:r>
          </w:p>
        </w:tc>
        <w:tc>
          <w:tcPr>
            <w:tcW w:w="7036" w:type="dxa"/>
          </w:tcPr>
          <w:p w14:paraId="75CEB4EF" w14:textId="62A58F90" w:rsidR="00EC2DF0" w:rsidRDefault="00EC2DF0">
            <w:r>
              <w:t>The Balsam Centre</w:t>
            </w:r>
          </w:p>
        </w:tc>
      </w:tr>
      <w:tr w:rsidR="00EC2DF0" w14:paraId="1997628A" w14:textId="77777777" w:rsidTr="00EC2DF0">
        <w:tc>
          <w:tcPr>
            <w:tcW w:w="1980" w:type="dxa"/>
          </w:tcPr>
          <w:p w14:paraId="1EFF7650" w14:textId="0F33A324" w:rsidR="00EC2DF0" w:rsidRDefault="00EC2DF0">
            <w:r>
              <w:t xml:space="preserve">Hours: </w:t>
            </w:r>
          </w:p>
        </w:tc>
        <w:tc>
          <w:tcPr>
            <w:tcW w:w="7036" w:type="dxa"/>
          </w:tcPr>
          <w:p w14:paraId="496A99B4" w14:textId="6B80D62C" w:rsidR="00EC2DF0" w:rsidRDefault="00EC2DF0">
            <w:r>
              <w:t>13.00 – 17.00 Weekly on a Thursday</w:t>
            </w:r>
          </w:p>
        </w:tc>
      </w:tr>
      <w:tr w:rsidR="00EC2DF0" w14:paraId="51898D57" w14:textId="77777777" w:rsidTr="00EC2DF0">
        <w:tc>
          <w:tcPr>
            <w:tcW w:w="1980" w:type="dxa"/>
          </w:tcPr>
          <w:p w14:paraId="5FABFAEF" w14:textId="7387D5F1" w:rsidR="00EC2DF0" w:rsidRDefault="00EC2DF0">
            <w:r>
              <w:t xml:space="preserve">Remuneration: </w:t>
            </w:r>
          </w:p>
        </w:tc>
        <w:tc>
          <w:tcPr>
            <w:tcW w:w="7036" w:type="dxa"/>
          </w:tcPr>
          <w:p w14:paraId="63C68281" w14:textId="65299D6D" w:rsidR="00EC2DF0" w:rsidRDefault="00EC2DF0">
            <w:r>
              <w:t>£30,000</w:t>
            </w:r>
            <w:r w:rsidR="00257809">
              <w:t xml:space="preserve"> pro rata</w:t>
            </w:r>
            <w:r w:rsidR="00F75E77">
              <w:t xml:space="preserve"> </w:t>
            </w:r>
            <w:r w:rsidR="00FC0EEE">
              <w:t>(</w:t>
            </w:r>
            <w:r w:rsidR="00F75E77">
              <w:t>£15.60</w:t>
            </w:r>
            <w:r w:rsidR="00FC0EEE">
              <w:t xml:space="preserve"> </w:t>
            </w:r>
            <w:proofErr w:type="spellStart"/>
            <w:r w:rsidR="00FC0EEE">
              <w:t>p.h.</w:t>
            </w:r>
            <w:proofErr w:type="spellEnd"/>
            <w:r w:rsidR="00FC0EEE">
              <w:t>)</w:t>
            </w:r>
            <w:r w:rsidR="00F75E77">
              <w:t xml:space="preserve"> </w:t>
            </w:r>
          </w:p>
        </w:tc>
      </w:tr>
      <w:tr w:rsidR="00EC2DF0" w14:paraId="50CA1A45" w14:textId="77777777" w:rsidTr="00EC2DF0">
        <w:tc>
          <w:tcPr>
            <w:tcW w:w="1980" w:type="dxa"/>
          </w:tcPr>
          <w:p w14:paraId="250033D3" w14:textId="77777777" w:rsidR="00EC2DF0" w:rsidRDefault="00EC2DF0"/>
        </w:tc>
        <w:tc>
          <w:tcPr>
            <w:tcW w:w="7036" w:type="dxa"/>
          </w:tcPr>
          <w:p w14:paraId="13D0EABD" w14:textId="77777777" w:rsidR="00EC2DF0" w:rsidRDefault="00EC2DF0"/>
        </w:tc>
      </w:tr>
      <w:tr w:rsidR="00EC2DF0" w14:paraId="37778D6E" w14:textId="77777777" w:rsidTr="00EC2DF0">
        <w:tc>
          <w:tcPr>
            <w:tcW w:w="1980" w:type="dxa"/>
          </w:tcPr>
          <w:p w14:paraId="745E9916" w14:textId="0D44C8A4" w:rsidR="00EC2DF0" w:rsidRDefault="00EC2DF0">
            <w:r>
              <w:t>Purpose of Role:</w:t>
            </w:r>
          </w:p>
        </w:tc>
        <w:tc>
          <w:tcPr>
            <w:tcW w:w="7036" w:type="dxa"/>
          </w:tcPr>
          <w:p w14:paraId="57C12B0E" w14:textId="5291A8AF" w:rsidR="00E84DA8" w:rsidRDefault="004B420F">
            <w:r>
              <w:t>The Dementia Support group, Memory Lane, was set up at the Balsam Centre in 2015</w:t>
            </w:r>
            <w:r w:rsidR="003B7954">
              <w:t>.</w:t>
            </w:r>
            <w:r>
              <w:t xml:space="preserve"> </w:t>
            </w:r>
          </w:p>
          <w:p w14:paraId="14D68063" w14:textId="4E962941" w:rsidR="00EC2DF0" w:rsidRDefault="004B420F">
            <w:r>
              <w:t xml:space="preserve">The aim of the group is to provide social </w:t>
            </w:r>
            <w:r w:rsidR="0006437A">
              <w:t xml:space="preserve">connections </w:t>
            </w:r>
            <w:r>
              <w:t xml:space="preserve">and </w:t>
            </w:r>
            <w:r w:rsidR="00725877">
              <w:t xml:space="preserve">activities </w:t>
            </w:r>
            <w:r>
              <w:t>for people living with mild to moderate dementia.  Activities are designed to stimulate memory</w:t>
            </w:r>
            <w:r w:rsidR="00F534F3">
              <w:t>, reminiscence</w:t>
            </w:r>
            <w:r>
              <w:t xml:space="preserve"> and </w:t>
            </w:r>
            <w:r w:rsidR="00B243AB">
              <w:t xml:space="preserve">conversation.  The group also provides a </w:t>
            </w:r>
            <w:r w:rsidR="001977E8">
              <w:t>two-hour</w:t>
            </w:r>
            <w:r w:rsidR="00B243AB">
              <w:t xml:space="preserve"> respite period for carers, </w:t>
            </w:r>
            <w:r w:rsidR="008B0116">
              <w:t>who</w:t>
            </w:r>
            <w:r w:rsidR="00B243AB">
              <w:t xml:space="preserve"> are </w:t>
            </w:r>
            <w:r w:rsidR="008B0116">
              <w:t xml:space="preserve">also </w:t>
            </w:r>
            <w:r w:rsidR="00B243AB">
              <w:t xml:space="preserve">welcome to stay.  </w:t>
            </w:r>
          </w:p>
          <w:p w14:paraId="5C89E416" w14:textId="1383C439" w:rsidR="00FC0EEE" w:rsidRDefault="00CF4DDC">
            <w:r>
              <w:t xml:space="preserve">People with more advanced </w:t>
            </w:r>
            <w:r w:rsidR="00866226">
              <w:t xml:space="preserve">dementia may </w:t>
            </w:r>
            <w:r w:rsidR="003F1FE1">
              <w:t>b</w:t>
            </w:r>
            <w:r w:rsidR="00866226">
              <w:t xml:space="preserve">e able to join the group </w:t>
            </w:r>
            <w:r w:rsidR="003F1FE1">
              <w:t xml:space="preserve">if their care can be managed. </w:t>
            </w:r>
          </w:p>
          <w:p w14:paraId="6C23E0E4" w14:textId="37A4BDFE" w:rsidR="006E1884" w:rsidRDefault="006E1884"/>
        </w:tc>
      </w:tr>
      <w:tr w:rsidR="00EC2DF0" w14:paraId="1F89A324" w14:textId="77777777" w:rsidTr="00EC2DF0">
        <w:tc>
          <w:tcPr>
            <w:tcW w:w="1980" w:type="dxa"/>
          </w:tcPr>
          <w:p w14:paraId="00797F85" w14:textId="628983EC" w:rsidR="00EC2DF0" w:rsidRDefault="00B243AB">
            <w:r>
              <w:t xml:space="preserve">Main Responsibilities and Duties: </w:t>
            </w:r>
          </w:p>
        </w:tc>
        <w:tc>
          <w:tcPr>
            <w:tcW w:w="7036" w:type="dxa"/>
          </w:tcPr>
          <w:p w14:paraId="20D9EF56" w14:textId="126E55FC" w:rsidR="00B243AB" w:rsidRDefault="00B243AB" w:rsidP="00B243AB">
            <w:pPr>
              <w:pStyle w:val="ListParagraph"/>
              <w:numPr>
                <w:ilvl w:val="0"/>
                <w:numId w:val="1"/>
              </w:numPr>
            </w:pPr>
            <w:r>
              <w:t xml:space="preserve">To plan, set up and run </w:t>
            </w:r>
            <w:r w:rsidR="00C10E8E">
              <w:t xml:space="preserve">a weekly </w:t>
            </w:r>
            <w:r w:rsidR="001977E8">
              <w:t xml:space="preserve">social and </w:t>
            </w:r>
            <w:r w:rsidR="00C10E8E">
              <w:t>support group to benefit people with mild to moderate dementia</w:t>
            </w:r>
            <w:r w:rsidR="001977E8">
              <w:t xml:space="preserve">, and their </w:t>
            </w:r>
            <w:proofErr w:type="spellStart"/>
            <w:r w:rsidR="001977E8">
              <w:t>carers</w:t>
            </w:r>
            <w:proofErr w:type="spellEnd"/>
            <w:r w:rsidR="00C10E8E">
              <w:t>.</w:t>
            </w:r>
            <w:r>
              <w:t xml:space="preserve"> </w:t>
            </w:r>
          </w:p>
          <w:p w14:paraId="711EE482" w14:textId="761863FB" w:rsidR="00EC2DF0" w:rsidRDefault="00B243AB" w:rsidP="00B243AB">
            <w:pPr>
              <w:pStyle w:val="ListParagraph"/>
              <w:numPr>
                <w:ilvl w:val="0"/>
                <w:numId w:val="1"/>
              </w:numPr>
            </w:pPr>
            <w:r>
              <w:t>To accept people referred into the group through the Balsam Centre’s referral process</w:t>
            </w:r>
            <w:r w:rsidR="00C10E8E">
              <w:t>, following assessment.</w:t>
            </w:r>
          </w:p>
          <w:p w14:paraId="2C055911" w14:textId="0C2240CC" w:rsidR="00B243AB" w:rsidRDefault="00B243AB" w:rsidP="00B243AB">
            <w:pPr>
              <w:pStyle w:val="ListParagraph"/>
              <w:numPr>
                <w:ilvl w:val="0"/>
                <w:numId w:val="1"/>
              </w:numPr>
            </w:pPr>
            <w:r>
              <w:t>To liaise with carers</w:t>
            </w:r>
            <w:r w:rsidR="00C10E8E">
              <w:t>/family</w:t>
            </w:r>
            <w:r>
              <w:t xml:space="preserve"> to understand and agree the level of need for each </w:t>
            </w:r>
            <w:proofErr w:type="gramStart"/>
            <w:r>
              <w:t>participant</w:t>
            </w:r>
            <w:r w:rsidR="00B1372A">
              <w:t>;</w:t>
            </w:r>
            <w:proofErr w:type="gramEnd"/>
            <w:r w:rsidR="006400DF">
              <w:t xml:space="preserve"> </w:t>
            </w:r>
            <w:r w:rsidR="00245360">
              <w:t>care,</w:t>
            </w:r>
            <w:r w:rsidR="00AA4BBA">
              <w:t xml:space="preserve"> </w:t>
            </w:r>
            <w:r w:rsidR="00B1372A">
              <w:t xml:space="preserve">safety, </w:t>
            </w:r>
            <w:r w:rsidR="00AA4BBA">
              <w:t>travel arrangements etc.</w:t>
            </w:r>
            <w:r>
              <w:t xml:space="preserve"> </w:t>
            </w:r>
          </w:p>
          <w:p w14:paraId="493A31A9" w14:textId="77777777" w:rsidR="00B243AB" w:rsidRDefault="00B243AB" w:rsidP="00B243AB">
            <w:pPr>
              <w:pStyle w:val="ListParagraph"/>
              <w:numPr>
                <w:ilvl w:val="0"/>
                <w:numId w:val="1"/>
              </w:numPr>
            </w:pPr>
            <w:r>
              <w:t>To liaise with the CAT Bus to facilitate travel arrangements if required.</w:t>
            </w:r>
          </w:p>
          <w:p w14:paraId="5A570F30" w14:textId="77777777" w:rsidR="00C10E8E" w:rsidRDefault="00B243AB" w:rsidP="00B243AB">
            <w:pPr>
              <w:pStyle w:val="ListParagraph"/>
              <w:numPr>
                <w:ilvl w:val="0"/>
                <w:numId w:val="1"/>
              </w:numPr>
            </w:pPr>
            <w:r>
              <w:t xml:space="preserve">To liaise with partner organisations e.g. the </w:t>
            </w:r>
            <w:proofErr w:type="spellStart"/>
            <w:r>
              <w:t>Alzheimers</w:t>
            </w:r>
            <w:proofErr w:type="spellEnd"/>
            <w:r>
              <w:t xml:space="preserve"> Society and Methodist Homes Association </w:t>
            </w:r>
            <w:r w:rsidR="00C10E8E">
              <w:t xml:space="preserve">to ensure appropriate referrals and inform different types of </w:t>
            </w:r>
            <w:proofErr w:type="gramStart"/>
            <w:r w:rsidR="00C10E8E">
              <w:t>person</w:t>
            </w:r>
            <w:proofErr w:type="gramEnd"/>
            <w:r w:rsidR="00C10E8E">
              <w:t xml:space="preserve"> centred and individual support within the group setting.</w:t>
            </w:r>
          </w:p>
          <w:p w14:paraId="5AB26243" w14:textId="77777777" w:rsidR="00C10E8E" w:rsidRDefault="00C10E8E" w:rsidP="00B243AB">
            <w:pPr>
              <w:pStyle w:val="ListParagraph"/>
              <w:numPr>
                <w:ilvl w:val="0"/>
                <w:numId w:val="1"/>
              </w:numPr>
            </w:pPr>
            <w:r>
              <w:t xml:space="preserve">To plan sessions creatively using seasonal and sensory activities. To order and manage resources for the group. </w:t>
            </w:r>
          </w:p>
          <w:p w14:paraId="66144B3A" w14:textId="6A96908B" w:rsidR="00B243AB" w:rsidRDefault="00C10E8E" w:rsidP="00B243AB">
            <w:pPr>
              <w:pStyle w:val="ListParagraph"/>
              <w:numPr>
                <w:ilvl w:val="0"/>
                <w:numId w:val="1"/>
              </w:numPr>
            </w:pPr>
            <w:r>
              <w:t xml:space="preserve">To manage and support volunteers in the group. </w:t>
            </w:r>
          </w:p>
          <w:p w14:paraId="40ADC406" w14:textId="44C74A57" w:rsidR="00C10E8E" w:rsidRDefault="00C10E8E" w:rsidP="00B243AB">
            <w:pPr>
              <w:pStyle w:val="ListParagraph"/>
              <w:numPr>
                <w:ilvl w:val="0"/>
                <w:numId w:val="1"/>
              </w:numPr>
            </w:pPr>
            <w:r>
              <w:t>To ensure the health and safety of participants and volunteers whilst in the group</w:t>
            </w:r>
            <w:r w:rsidR="007C5BDE">
              <w:t>,</w:t>
            </w:r>
            <w:r>
              <w:t xml:space="preserve"> and </w:t>
            </w:r>
            <w:r w:rsidR="007C5BDE">
              <w:t xml:space="preserve">on </w:t>
            </w:r>
            <w:r>
              <w:t>entering and exiting the building.</w:t>
            </w:r>
          </w:p>
          <w:p w14:paraId="2CBAA421" w14:textId="5EFAA643" w:rsidR="001C1784" w:rsidRDefault="001C1784" w:rsidP="00B243AB">
            <w:pPr>
              <w:pStyle w:val="ListParagraph"/>
              <w:numPr>
                <w:ilvl w:val="0"/>
                <w:numId w:val="1"/>
              </w:numPr>
            </w:pPr>
            <w:r>
              <w:t xml:space="preserve">To </w:t>
            </w:r>
            <w:r w:rsidR="00853C27">
              <w:t>maintain a register and individual records for those attending.</w:t>
            </w:r>
          </w:p>
          <w:p w14:paraId="5F96E786" w14:textId="27F80CE5" w:rsidR="003637B7" w:rsidRDefault="003637B7" w:rsidP="00B243AB">
            <w:pPr>
              <w:pStyle w:val="ListParagraph"/>
              <w:numPr>
                <w:ilvl w:val="0"/>
                <w:numId w:val="1"/>
              </w:numPr>
            </w:pPr>
            <w:r>
              <w:t xml:space="preserve">It is not the role of the Support Worker to provide personal care, but it may </w:t>
            </w:r>
            <w:r w:rsidR="00406BDF">
              <w:t>occasio</w:t>
            </w:r>
            <w:r w:rsidR="00FC53DE">
              <w:t xml:space="preserve">nally </w:t>
            </w:r>
            <w:r>
              <w:t xml:space="preserve">be necessary to change a pad.  </w:t>
            </w:r>
          </w:p>
          <w:p w14:paraId="501DBA87" w14:textId="445D4B40" w:rsidR="00B243AB" w:rsidRDefault="00B243AB" w:rsidP="00B243AB"/>
        </w:tc>
      </w:tr>
      <w:tr w:rsidR="00EC2DF0" w14:paraId="65B1AD25" w14:textId="77777777" w:rsidTr="00EC2DF0">
        <w:tc>
          <w:tcPr>
            <w:tcW w:w="1980" w:type="dxa"/>
          </w:tcPr>
          <w:p w14:paraId="7E444FB3" w14:textId="0D3421FF" w:rsidR="00EC2DF0" w:rsidRDefault="007C5BDE">
            <w:r>
              <w:t>Experience, Knowledge and Skills:</w:t>
            </w:r>
          </w:p>
        </w:tc>
        <w:tc>
          <w:tcPr>
            <w:tcW w:w="7036" w:type="dxa"/>
          </w:tcPr>
          <w:p w14:paraId="3F092069" w14:textId="77777777" w:rsidR="00EC2DF0" w:rsidRDefault="007C5BDE" w:rsidP="007C5BDE">
            <w:pPr>
              <w:pStyle w:val="ListParagraph"/>
              <w:numPr>
                <w:ilvl w:val="0"/>
                <w:numId w:val="2"/>
              </w:numPr>
            </w:pPr>
            <w:r>
              <w:t>An understanding of the activities and purpose of the Balsam Centre.</w:t>
            </w:r>
          </w:p>
          <w:p w14:paraId="5E060729" w14:textId="5ED54232" w:rsidR="007C5BDE" w:rsidRDefault="007C5BDE" w:rsidP="007C5BDE">
            <w:pPr>
              <w:pStyle w:val="ListParagraph"/>
              <w:numPr>
                <w:ilvl w:val="0"/>
                <w:numId w:val="2"/>
              </w:numPr>
            </w:pPr>
            <w:r>
              <w:t xml:space="preserve">To have </w:t>
            </w:r>
            <w:r w:rsidR="00A122BB">
              <w:t>employment</w:t>
            </w:r>
            <w:r w:rsidR="00E75B33">
              <w:t>, or lived</w:t>
            </w:r>
            <w:r>
              <w:t xml:space="preserve"> experience</w:t>
            </w:r>
            <w:r w:rsidR="004C0692">
              <w:t>,</w:t>
            </w:r>
            <w:r>
              <w:t xml:space="preserve"> of caring for people with dementia.</w:t>
            </w:r>
          </w:p>
          <w:p w14:paraId="634DF843" w14:textId="3AFE31DD" w:rsidR="007C5BDE" w:rsidRDefault="00896FEC" w:rsidP="007C5BDE">
            <w:pPr>
              <w:pStyle w:val="ListParagraph"/>
              <w:numPr>
                <w:ilvl w:val="0"/>
                <w:numId w:val="2"/>
              </w:numPr>
            </w:pPr>
            <w:r>
              <w:t>To have g</w:t>
            </w:r>
            <w:r w:rsidR="007C5BDE">
              <w:t xml:space="preserve">roup work </w:t>
            </w:r>
            <w:r w:rsidR="00FC7467">
              <w:t xml:space="preserve">experience </w:t>
            </w:r>
            <w:r w:rsidR="00A46538">
              <w:t>with</w:t>
            </w:r>
            <w:r w:rsidR="004E0026">
              <w:t xml:space="preserve"> a similar client group</w:t>
            </w:r>
            <w:r w:rsidR="00E41BBA">
              <w:t xml:space="preserve"> e.g. </w:t>
            </w:r>
            <w:r w:rsidR="007805F1">
              <w:t xml:space="preserve">dementia, elderly </w:t>
            </w:r>
            <w:r w:rsidR="00E41BBA">
              <w:t>people with long term conditions.</w:t>
            </w:r>
          </w:p>
          <w:p w14:paraId="12E92EFB" w14:textId="77777777" w:rsidR="00E41BBA" w:rsidRDefault="000B7CB0" w:rsidP="007C5BDE">
            <w:pPr>
              <w:pStyle w:val="ListParagraph"/>
              <w:numPr>
                <w:ilvl w:val="0"/>
                <w:numId w:val="2"/>
              </w:numPr>
            </w:pPr>
            <w:r>
              <w:t xml:space="preserve">An understanding of the challenges </w:t>
            </w:r>
            <w:r w:rsidR="00272C05">
              <w:t xml:space="preserve">which may be faced by </w:t>
            </w:r>
            <w:r w:rsidR="00715F7A">
              <w:t xml:space="preserve">carers </w:t>
            </w:r>
            <w:r w:rsidR="007B5996">
              <w:t>of people with dementia.</w:t>
            </w:r>
          </w:p>
          <w:p w14:paraId="6C335364" w14:textId="601C57DE" w:rsidR="00BD0234" w:rsidRDefault="00D647AC" w:rsidP="007C5BDE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A working knowledge of </w:t>
            </w:r>
            <w:r w:rsidR="00DA2A18">
              <w:t xml:space="preserve">relevant </w:t>
            </w:r>
            <w:r>
              <w:t>external agencies and</w:t>
            </w:r>
            <w:r w:rsidR="00DA2A18">
              <w:t xml:space="preserve"> support structures</w:t>
            </w:r>
            <w:r w:rsidR="00887DBE">
              <w:t>.</w:t>
            </w:r>
          </w:p>
          <w:p w14:paraId="23FA0698" w14:textId="77777777" w:rsidR="007B5996" w:rsidRDefault="00C81B22" w:rsidP="007C5BDE">
            <w:pPr>
              <w:pStyle w:val="ListParagraph"/>
              <w:numPr>
                <w:ilvl w:val="0"/>
                <w:numId w:val="2"/>
              </w:numPr>
            </w:pPr>
            <w:r>
              <w:t xml:space="preserve">Knowledge and experience of </w:t>
            </w:r>
            <w:r w:rsidR="00A87CD0">
              <w:t>managing volunteers</w:t>
            </w:r>
            <w:r w:rsidR="00E637C2">
              <w:t>, or equivalent people skills and experience.</w:t>
            </w:r>
          </w:p>
          <w:p w14:paraId="076288A1" w14:textId="77777777" w:rsidR="00887DBE" w:rsidRDefault="00887DBE" w:rsidP="007C5BDE">
            <w:pPr>
              <w:pStyle w:val="ListParagraph"/>
              <w:numPr>
                <w:ilvl w:val="0"/>
                <w:numId w:val="2"/>
              </w:numPr>
            </w:pPr>
            <w:r>
              <w:t xml:space="preserve">A knowledge of the </w:t>
            </w:r>
            <w:r w:rsidR="00115EF4">
              <w:t>limits and boundaries of the role.</w:t>
            </w:r>
          </w:p>
          <w:p w14:paraId="62AF6DA9" w14:textId="0DCF3FB3" w:rsidR="00115EF4" w:rsidRDefault="00115EF4" w:rsidP="007C5BDE">
            <w:pPr>
              <w:pStyle w:val="ListParagraph"/>
              <w:numPr>
                <w:ilvl w:val="0"/>
                <w:numId w:val="2"/>
              </w:numPr>
            </w:pPr>
            <w:r>
              <w:t>An understanding of Adult Safeguarding principles and practice</w:t>
            </w:r>
            <w:r w:rsidR="00891773">
              <w:t xml:space="preserve"> and how to </w:t>
            </w:r>
            <w:r w:rsidR="00F51C8D">
              <w:t xml:space="preserve">address or </w:t>
            </w:r>
            <w:r w:rsidR="00891773">
              <w:t xml:space="preserve">report </w:t>
            </w:r>
            <w:r w:rsidR="00F51C8D">
              <w:t xml:space="preserve">concerns. </w:t>
            </w:r>
          </w:p>
          <w:p w14:paraId="08337FF3" w14:textId="3633CC12" w:rsidR="00115EF4" w:rsidRDefault="00397E5F" w:rsidP="007C5BDE">
            <w:pPr>
              <w:pStyle w:val="ListParagraph"/>
              <w:numPr>
                <w:ilvl w:val="0"/>
                <w:numId w:val="2"/>
              </w:numPr>
            </w:pPr>
            <w:r>
              <w:t>Health and Safety knowledge and practice</w:t>
            </w:r>
            <w:r w:rsidR="00B9636C">
              <w:t>, including Risk Assessment</w:t>
            </w:r>
          </w:p>
          <w:p w14:paraId="7ACEB660" w14:textId="405961C5" w:rsidR="00F75552" w:rsidRDefault="00F75552" w:rsidP="007C5BDE">
            <w:pPr>
              <w:pStyle w:val="ListParagraph"/>
              <w:numPr>
                <w:ilvl w:val="0"/>
                <w:numId w:val="2"/>
              </w:numPr>
            </w:pPr>
            <w:r>
              <w:t>Dementia specific training</w:t>
            </w:r>
            <w:r w:rsidR="00490F8A">
              <w:t>/qualifications</w:t>
            </w:r>
            <w:r w:rsidR="0019799C">
              <w:t xml:space="preserve"> including Dementia Friends training</w:t>
            </w:r>
          </w:p>
          <w:p w14:paraId="07DC36C7" w14:textId="266FECD6" w:rsidR="00A57E0D" w:rsidRDefault="00397E5F" w:rsidP="007C5BDE">
            <w:pPr>
              <w:pStyle w:val="ListParagraph"/>
              <w:numPr>
                <w:ilvl w:val="0"/>
                <w:numId w:val="2"/>
              </w:numPr>
            </w:pPr>
            <w:r>
              <w:t>Food Hygiene</w:t>
            </w:r>
            <w:r w:rsidR="00A57E0D">
              <w:t xml:space="preserve"> qualification </w:t>
            </w:r>
            <w:r w:rsidR="0035547A">
              <w:t>and understanding of hygiene principles and practice</w:t>
            </w:r>
          </w:p>
          <w:p w14:paraId="3F269DD5" w14:textId="77777777" w:rsidR="00397E5F" w:rsidRDefault="00397E5F" w:rsidP="007C5BDE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r w:rsidR="00C94425">
              <w:t>IT Literacy</w:t>
            </w:r>
          </w:p>
          <w:p w14:paraId="3D280D5A" w14:textId="77777777" w:rsidR="00C94425" w:rsidRDefault="00C94425" w:rsidP="007C5BDE">
            <w:pPr>
              <w:pStyle w:val="ListParagraph"/>
              <w:numPr>
                <w:ilvl w:val="0"/>
                <w:numId w:val="2"/>
              </w:numPr>
            </w:pPr>
            <w:r>
              <w:t>Excellent communication and organisational skills.</w:t>
            </w:r>
          </w:p>
          <w:p w14:paraId="3CBAF927" w14:textId="77777777" w:rsidR="001977E8" w:rsidRDefault="001977E8" w:rsidP="007C5BDE">
            <w:pPr>
              <w:pStyle w:val="ListParagraph"/>
              <w:numPr>
                <w:ilvl w:val="0"/>
                <w:numId w:val="2"/>
              </w:numPr>
            </w:pPr>
            <w:r>
              <w:t xml:space="preserve">Compassion, warmth and humour. </w:t>
            </w:r>
          </w:p>
          <w:p w14:paraId="1DB28C00" w14:textId="379BAF0F" w:rsidR="003D69FD" w:rsidRDefault="00FD5B02" w:rsidP="007C5BDE">
            <w:pPr>
              <w:pStyle w:val="ListParagraph"/>
              <w:numPr>
                <w:ilvl w:val="0"/>
                <w:numId w:val="2"/>
              </w:numPr>
            </w:pPr>
            <w:r>
              <w:t>Ability to provide simple personal care</w:t>
            </w:r>
            <w:r w:rsidR="00CF4DDC">
              <w:t>.</w:t>
            </w:r>
          </w:p>
        </w:tc>
      </w:tr>
      <w:tr w:rsidR="00EC2DF0" w14:paraId="1E56695B" w14:textId="77777777" w:rsidTr="00EC2DF0">
        <w:tc>
          <w:tcPr>
            <w:tcW w:w="1980" w:type="dxa"/>
          </w:tcPr>
          <w:p w14:paraId="6C4C59C7" w14:textId="77777777" w:rsidR="00EC2DF0" w:rsidRDefault="00EC2DF0"/>
        </w:tc>
        <w:tc>
          <w:tcPr>
            <w:tcW w:w="7036" w:type="dxa"/>
          </w:tcPr>
          <w:p w14:paraId="481D125E" w14:textId="77777777" w:rsidR="00EC2DF0" w:rsidRDefault="00EC2DF0"/>
        </w:tc>
      </w:tr>
    </w:tbl>
    <w:p w14:paraId="1822D7FF" w14:textId="77777777" w:rsidR="00EC2DF0" w:rsidRDefault="00EC2DF0"/>
    <w:sectPr w:rsidR="00EC2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28AB"/>
    <w:multiLevelType w:val="hybridMultilevel"/>
    <w:tmpl w:val="DCF07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46711"/>
    <w:multiLevelType w:val="hybridMultilevel"/>
    <w:tmpl w:val="90323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036580">
    <w:abstractNumId w:val="0"/>
  </w:num>
  <w:num w:numId="2" w16cid:durableId="946618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F0"/>
    <w:rsid w:val="0006437A"/>
    <w:rsid w:val="000B36E8"/>
    <w:rsid w:val="000B7CB0"/>
    <w:rsid w:val="00115EF4"/>
    <w:rsid w:val="001977E8"/>
    <w:rsid w:val="0019799C"/>
    <w:rsid w:val="001C1784"/>
    <w:rsid w:val="00245360"/>
    <w:rsid w:val="00257809"/>
    <w:rsid w:val="00272C05"/>
    <w:rsid w:val="0035547A"/>
    <w:rsid w:val="003637B7"/>
    <w:rsid w:val="00397E5F"/>
    <w:rsid w:val="003B7954"/>
    <w:rsid w:val="003D69FD"/>
    <w:rsid w:val="003F1FE1"/>
    <w:rsid w:val="00406BDF"/>
    <w:rsid w:val="00490F8A"/>
    <w:rsid w:val="004B420F"/>
    <w:rsid w:val="004C0692"/>
    <w:rsid w:val="004C6F0C"/>
    <w:rsid w:val="004E0026"/>
    <w:rsid w:val="006400DF"/>
    <w:rsid w:val="006E1884"/>
    <w:rsid w:val="00715F7A"/>
    <w:rsid w:val="00725877"/>
    <w:rsid w:val="007805F1"/>
    <w:rsid w:val="007B5996"/>
    <w:rsid w:val="007C5BDE"/>
    <w:rsid w:val="00853C27"/>
    <w:rsid w:val="00866226"/>
    <w:rsid w:val="00887DBE"/>
    <w:rsid w:val="00891773"/>
    <w:rsid w:val="00896FEC"/>
    <w:rsid w:val="008B0116"/>
    <w:rsid w:val="00A122BB"/>
    <w:rsid w:val="00A46538"/>
    <w:rsid w:val="00A57E0D"/>
    <w:rsid w:val="00A67A3C"/>
    <w:rsid w:val="00A87CD0"/>
    <w:rsid w:val="00AA4BBA"/>
    <w:rsid w:val="00B1372A"/>
    <w:rsid w:val="00B243AB"/>
    <w:rsid w:val="00B9636C"/>
    <w:rsid w:val="00BD0234"/>
    <w:rsid w:val="00C10E8E"/>
    <w:rsid w:val="00C81B22"/>
    <w:rsid w:val="00C878DE"/>
    <w:rsid w:val="00C94425"/>
    <w:rsid w:val="00CF4DDC"/>
    <w:rsid w:val="00D071BF"/>
    <w:rsid w:val="00D46DA1"/>
    <w:rsid w:val="00D647AC"/>
    <w:rsid w:val="00DA2A18"/>
    <w:rsid w:val="00DA6BAC"/>
    <w:rsid w:val="00DE4901"/>
    <w:rsid w:val="00E41BBA"/>
    <w:rsid w:val="00E637C2"/>
    <w:rsid w:val="00E75B33"/>
    <w:rsid w:val="00E84DA8"/>
    <w:rsid w:val="00EC2DF0"/>
    <w:rsid w:val="00F4442D"/>
    <w:rsid w:val="00F51C8D"/>
    <w:rsid w:val="00F534F3"/>
    <w:rsid w:val="00F74FEF"/>
    <w:rsid w:val="00F75552"/>
    <w:rsid w:val="00F75E77"/>
    <w:rsid w:val="00FC0EEE"/>
    <w:rsid w:val="00FC53DE"/>
    <w:rsid w:val="00FC7467"/>
    <w:rsid w:val="00FD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44AC"/>
  <w15:chartTrackingRefBased/>
  <w15:docId w15:val="{AF65183C-1624-46C4-ABA8-CF5B9401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D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D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D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D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D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D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D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D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D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D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D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D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D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D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D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D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D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D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D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D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D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D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D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D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A5E4D72393D4B869A4C68D37D5BB4" ma:contentTypeVersion="17" ma:contentTypeDescription="Create a new document." ma:contentTypeScope="" ma:versionID="349bcc7c705de32dd5b352ec1956fe7e">
  <xsd:schema xmlns:xsd="http://www.w3.org/2001/XMLSchema" xmlns:xs="http://www.w3.org/2001/XMLSchema" xmlns:p="http://schemas.microsoft.com/office/2006/metadata/properties" xmlns:ns2="87780d6a-2900-430f-a393-7956dc5ac477" xmlns:ns3="e78e46ed-ac00-411b-b8d6-60867b892eed" targetNamespace="http://schemas.microsoft.com/office/2006/metadata/properties" ma:root="true" ma:fieldsID="caeb04819e13d6a05e4283d6801ad5de" ns2:_="" ns3:_="">
    <xsd:import namespace="87780d6a-2900-430f-a393-7956dc5ac477"/>
    <xsd:import namespace="e78e46ed-ac00-411b-b8d6-60867b892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80d6a-2900-430f-a393-7956dc5ac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77a3ae-e5c7-4092-9f8c-6861acbe8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e46ed-ac00-411b-b8d6-60867b892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f185d7-f3d2-4662-ac4d-f888872862c0}" ma:internalName="TaxCatchAll" ma:showField="CatchAllData" ma:web="e78e46ed-ac00-411b-b8d6-60867b892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8e46ed-ac00-411b-b8d6-60867b892eed" xsi:nil="true"/>
    <lcf76f155ced4ddcb4097134ff3c332f xmlns="87780d6a-2900-430f-a393-7956dc5ac4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DFC95F-9642-4168-A638-7E442F019FA6}"/>
</file>

<file path=customXml/itemProps2.xml><?xml version="1.0" encoding="utf-8"?>
<ds:datastoreItem xmlns:ds="http://schemas.openxmlformats.org/officeDocument/2006/customXml" ds:itemID="{71AD6165-2465-434E-AA36-AC44393D8F2F}"/>
</file>

<file path=customXml/itemProps3.xml><?xml version="1.0" encoding="utf-8"?>
<ds:datastoreItem xmlns:ds="http://schemas.openxmlformats.org/officeDocument/2006/customXml" ds:itemID="{85F5A6B5-6449-4186-820F-5DBAA7FAF2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2548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Place</dc:creator>
  <cp:keywords/>
  <dc:description/>
  <cp:lastModifiedBy>Jenny Sparkes</cp:lastModifiedBy>
  <cp:revision>2</cp:revision>
  <dcterms:created xsi:type="dcterms:W3CDTF">2024-07-23T08:14:00Z</dcterms:created>
  <dcterms:modified xsi:type="dcterms:W3CDTF">2024-07-23T08:14:00Z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0x01010060FA5E4D72393D4B869A4C68D37D5BB4</vt:lpwstr>
  </property>
</Properties>
</file>