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Pr="004D7A1E" w:rsidR="004D7A1E" w:rsidP="004D7A1E" w:rsidRDefault="004D7A1E" w14:paraId="667C5375" w14:textId="77777777">
      <w:bookmarkStart w:name="Title" w:id="0"/>
    </w:p>
    <w:p w:rsidRPr="00A541B0" w:rsidR="00811994" w:rsidP="004D7A1E" w:rsidRDefault="004D7A1E" w14:paraId="58EAAF0D" w14:textId="1CE17A5B">
      <w:pPr>
        <w:pStyle w:val="Heading1"/>
        <w:jc w:val="center"/>
        <w:rPr>
          <w:color w:val="004689" w:themeColor="text1" w:themeShade="BF"/>
        </w:rPr>
      </w:pPr>
      <w:bookmarkStart w:name="_Toc86227181" w:id="1"/>
      <w:bookmarkStart w:name="_Toc86227520" w:id="2"/>
      <w:bookmarkEnd w:id="0"/>
      <w:r w:rsidRPr="00A541B0">
        <w:rPr>
          <w:color w:val="004689" w:themeColor="text1" w:themeShade="BF"/>
        </w:rPr>
        <w:t xml:space="preserve">Population Health Fellowship </w:t>
      </w:r>
    </w:p>
    <w:p w:rsidRPr="00A541B0" w:rsidR="004D7A1E" w:rsidP="004D7A1E" w:rsidRDefault="004D7A1E" w14:paraId="172498BF" w14:textId="2BEA5C7B">
      <w:pPr>
        <w:pStyle w:val="Heading1"/>
        <w:jc w:val="center"/>
        <w:rPr>
          <w:color w:val="004689" w:themeColor="text1" w:themeShade="BF"/>
        </w:rPr>
      </w:pPr>
      <w:r w:rsidRPr="00A541B0">
        <w:rPr>
          <w:color w:val="004689" w:themeColor="text1" w:themeShade="BF"/>
        </w:rPr>
        <w:t xml:space="preserve"> Rough Guide</w:t>
      </w:r>
      <w:bookmarkEnd w:id="1"/>
      <w:bookmarkEnd w:id="2"/>
    </w:p>
    <w:p w:rsidRPr="00A541B0" w:rsidR="00933394" w:rsidP="004D7A1E" w:rsidRDefault="004D7A1E" w14:paraId="7E971CA8" w14:textId="4A9AA25E">
      <w:pPr>
        <w:pStyle w:val="Heading2"/>
        <w:jc w:val="center"/>
        <w:rPr>
          <w:color w:val="004689" w:themeColor="text1" w:themeShade="BF"/>
        </w:rPr>
      </w:pPr>
      <w:bookmarkStart w:name="_Toc86227182" w:id="3"/>
      <w:bookmarkStart w:name="_Toc86227521" w:id="4"/>
      <w:r w:rsidRPr="00A541B0">
        <w:rPr>
          <w:color w:val="004689" w:themeColor="text1" w:themeShade="BF"/>
        </w:rPr>
        <w:t>A national programme to empower healthcare professionals to innovate at a population level</w:t>
      </w:r>
      <w:bookmarkStart w:name="Heading3" w:id="5"/>
      <w:bookmarkEnd w:id="3"/>
      <w:bookmarkEnd w:id="4"/>
    </w:p>
    <w:bookmarkEnd w:id="5"/>
    <w:p w:rsidR="004D7A1E" w:rsidP="00107CF7" w:rsidRDefault="004D7A1E" w14:paraId="6DE9353E" w14:textId="6D57FA15"/>
    <w:sdt>
      <w:sdtPr>
        <w:id w:val="2027984344"/>
        <w:docPartObj>
          <w:docPartGallery w:val="Table of Contents"/>
          <w:docPartUnique/>
        </w:docPartObj>
        <w:rPr>
          <w:rFonts w:ascii="Arial" w:hAnsi="Arial" w:eastAsia="ＭＳ Ｐゴシック" w:cs="" w:eastAsiaTheme="minorEastAsia" w:cstheme="minorBidi"/>
          <w:color w:val="auto"/>
          <w:sz w:val="24"/>
          <w:szCs w:val="24"/>
          <w:lang w:val="en-GB"/>
        </w:rPr>
      </w:sdtPr>
      <w:sdtEndPr>
        <w:rPr>
          <w:rFonts w:ascii="Arial" w:hAnsi="Arial" w:eastAsia="ＭＳ Ｐゴシック" w:cs="" w:eastAsiaTheme="minorEastAsia" w:cstheme="minorBidi"/>
          <w:b w:val="1"/>
          <w:bCs w:val="1"/>
          <w:noProof/>
          <w:color w:val="auto"/>
          <w:sz w:val="24"/>
          <w:szCs w:val="24"/>
          <w:lang w:val="en-GB"/>
        </w:rPr>
      </w:sdtEndPr>
      <w:sdtContent>
        <w:p w:rsidRPr="00A541B0" w:rsidR="0055417B" w:rsidP="006B289F" w:rsidRDefault="0055417B" w14:paraId="1C7A6C07" w14:textId="2A4C6D1A">
          <w:pPr>
            <w:pStyle w:val="TOCHeading"/>
            <w:spacing w:before="100" w:beforeAutospacing="1" w:after="100" w:afterAutospacing="1"/>
            <w:rPr>
              <w:rStyle w:val="Heading1Char"/>
              <w:color w:val="004689" w:themeColor="text1" w:themeShade="BF"/>
            </w:rPr>
          </w:pPr>
          <w:r w:rsidRPr="00A541B0">
            <w:rPr>
              <w:rStyle w:val="Heading1Char"/>
              <w:color w:val="004689" w:themeColor="text1" w:themeShade="BF"/>
            </w:rPr>
            <w:t>Contents</w:t>
          </w:r>
        </w:p>
        <w:p w:rsidRPr="00A541B0" w:rsidR="00BB60D5" w:rsidP="00083DB4" w:rsidRDefault="0055417B" w14:paraId="0A324673" w14:textId="512FB280">
          <w:pPr>
            <w:pStyle w:val="TOC1"/>
            <w:rPr>
              <w:rFonts w:asciiTheme="minorHAnsi" w:hAnsiTheme="minorHAnsi"/>
              <w:color w:val="004689" w:themeColor="text1" w:themeShade="BF"/>
              <w:sz w:val="22"/>
              <w:szCs w:val="22"/>
              <w:lang w:eastAsia="en-GB"/>
            </w:rPr>
          </w:pPr>
          <w:r w:rsidRPr="00A541B0">
            <w:rPr>
              <w:color w:val="004689" w:themeColor="text1" w:themeShade="BF"/>
            </w:rPr>
            <w:fldChar w:fldCharType="begin"/>
          </w:r>
          <w:r w:rsidRPr="00A541B0">
            <w:rPr>
              <w:color w:val="004689" w:themeColor="text1" w:themeShade="BF"/>
            </w:rPr>
            <w:instrText xml:space="preserve"> TOC \o "1-3" \h \z \u </w:instrText>
          </w:r>
          <w:r w:rsidRPr="00A541B0">
            <w:rPr>
              <w:color w:val="004689" w:themeColor="text1" w:themeShade="BF"/>
            </w:rPr>
            <w:fldChar w:fldCharType="separate"/>
          </w:r>
          <w:hyperlink w:history="1" w:anchor="_Toc86227523">
            <w:r w:rsidRPr="00A541B0" w:rsidR="00BB60D5">
              <w:rPr>
                <w:rStyle w:val="Hyperlink"/>
                <w:color w:val="004689" w:themeColor="text1" w:themeShade="BF"/>
              </w:rPr>
              <w:t>Programme Summary</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_Toc86227523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2</w:t>
            </w:r>
            <w:r w:rsidRPr="00A541B0" w:rsidR="00BB60D5">
              <w:rPr>
                <w:webHidden/>
                <w:color w:val="004689" w:themeColor="text1" w:themeShade="BF"/>
              </w:rPr>
              <w:fldChar w:fldCharType="end"/>
            </w:r>
          </w:hyperlink>
        </w:p>
        <w:p w:rsidRPr="00A541B0" w:rsidR="00BB60D5" w:rsidP="00083DB4" w:rsidRDefault="00786E4D" w14:paraId="45C56C2A" w14:textId="7CBD8343">
          <w:pPr>
            <w:pStyle w:val="TOC1"/>
            <w:rPr>
              <w:rFonts w:asciiTheme="minorHAnsi" w:hAnsiTheme="minorHAnsi"/>
              <w:color w:val="004689" w:themeColor="text1" w:themeShade="BF"/>
              <w:sz w:val="22"/>
              <w:szCs w:val="22"/>
              <w:lang w:eastAsia="en-GB"/>
            </w:rPr>
          </w:pPr>
          <w:hyperlink w:history="1" w:anchor="_Toc86227524">
            <w:r w:rsidRPr="00A541B0" w:rsidR="00BB60D5">
              <w:rPr>
                <w:rStyle w:val="Hyperlink"/>
                <w:color w:val="004689" w:themeColor="text1" w:themeShade="BF"/>
              </w:rPr>
              <w:t>What is population health?</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_Toc86227524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3</w:t>
            </w:r>
            <w:r w:rsidRPr="00A541B0" w:rsidR="00BB60D5">
              <w:rPr>
                <w:webHidden/>
                <w:color w:val="004689" w:themeColor="text1" w:themeShade="BF"/>
              </w:rPr>
              <w:fldChar w:fldCharType="end"/>
            </w:r>
          </w:hyperlink>
        </w:p>
        <w:p w:rsidRPr="00A541B0" w:rsidR="00BB60D5" w:rsidP="006B289F" w:rsidRDefault="00786E4D" w14:paraId="41D35E8D" w14:textId="73FB14A0">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25">
            <w:r w:rsidRPr="00A541B0" w:rsidR="00BB60D5">
              <w:rPr>
                <w:rStyle w:val="Hyperlink"/>
                <w:b/>
                <w:bCs/>
                <w:noProof/>
                <w:color w:val="004689" w:themeColor="text1" w:themeShade="BF"/>
              </w:rPr>
              <w:t>The importance of population health</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_Toc86227525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3</w:t>
            </w:r>
            <w:r w:rsidRPr="00A541B0" w:rsidR="00BB60D5">
              <w:rPr>
                <w:noProof/>
                <w:webHidden/>
                <w:color w:val="004689" w:themeColor="text1" w:themeShade="BF"/>
              </w:rPr>
              <w:fldChar w:fldCharType="end"/>
            </w:r>
          </w:hyperlink>
        </w:p>
        <w:p w:rsidRPr="00A541B0" w:rsidR="00BB60D5" w:rsidP="006B289F" w:rsidRDefault="00786E4D" w14:paraId="64DF1226" w14:textId="4B9CB017">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26">
            <w:r w:rsidRPr="00A541B0" w:rsidR="00BB60D5">
              <w:rPr>
                <w:rStyle w:val="Hyperlink"/>
                <w:b/>
                <w:bCs/>
                <w:noProof/>
                <w:color w:val="004689" w:themeColor="text1" w:themeShade="BF"/>
              </w:rPr>
              <w:t>Defining populations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_Toc86227526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3</w:t>
            </w:r>
            <w:r w:rsidRPr="00A541B0" w:rsidR="00BB60D5">
              <w:rPr>
                <w:noProof/>
                <w:webHidden/>
                <w:color w:val="004689" w:themeColor="text1" w:themeShade="BF"/>
              </w:rPr>
              <w:fldChar w:fldCharType="end"/>
            </w:r>
          </w:hyperlink>
        </w:p>
        <w:p w:rsidRPr="00A541B0" w:rsidR="00BB60D5" w:rsidP="006B289F" w:rsidRDefault="00786E4D" w14:paraId="5CC82E38" w14:textId="397A391B">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27">
            <w:r w:rsidRPr="00A541B0" w:rsidR="00BB60D5">
              <w:rPr>
                <w:rStyle w:val="Hyperlink"/>
                <w:b/>
                <w:bCs/>
                <w:noProof/>
                <w:color w:val="004689" w:themeColor="text1" w:themeShade="BF"/>
              </w:rPr>
              <w:t>Population health in action</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_Toc86227527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3</w:t>
            </w:r>
            <w:r w:rsidRPr="00A541B0" w:rsidR="00BB60D5">
              <w:rPr>
                <w:noProof/>
                <w:webHidden/>
                <w:color w:val="004689" w:themeColor="text1" w:themeShade="BF"/>
              </w:rPr>
              <w:fldChar w:fldCharType="end"/>
            </w:r>
          </w:hyperlink>
        </w:p>
        <w:p w:rsidRPr="00A541B0" w:rsidR="00BB60D5" w:rsidP="006B289F" w:rsidRDefault="00786E4D" w14:paraId="06A20233" w14:textId="52BACD5C">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28">
            <w:r w:rsidRPr="00A541B0" w:rsidR="00BB60D5">
              <w:rPr>
                <w:rStyle w:val="Hyperlink"/>
                <w:b/>
                <w:bCs/>
                <w:noProof/>
                <w:color w:val="004689" w:themeColor="text1" w:themeShade="BF"/>
              </w:rPr>
              <w:t>Population health and public health</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_Toc86227528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4</w:t>
            </w:r>
            <w:r w:rsidRPr="00A541B0" w:rsidR="00BB60D5">
              <w:rPr>
                <w:noProof/>
                <w:webHidden/>
                <w:color w:val="004689" w:themeColor="text1" w:themeShade="BF"/>
              </w:rPr>
              <w:fldChar w:fldCharType="end"/>
            </w:r>
          </w:hyperlink>
        </w:p>
        <w:p w:rsidRPr="00A541B0" w:rsidR="00BB60D5" w:rsidP="00083DB4" w:rsidRDefault="00786E4D" w14:paraId="103B0891" w14:textId="3B10AFF5">
          <w:pPr>
            <w:pStyle w:val="TOC1"/>
            <w:rPr>
              <w:rFonts w:asciiTheme="minorHAnsi" w:hAnsiTheme="minorHAnsi"/>
              <w:color w:val="004689" w:themeColor="text1" w:themeShade="BF"/>
              <w:sz w:val="22"/>
              <w:szCs w:val="22"/>
              <w:lang w:eastAsia="en-GB"/>
            </w:rPr>
          </w:pPr>
          <w:hyperlink w:history="1" w:anchor="_Toc86227529">
            <w:r w:rsidRPr="00A541B0" w:rsidR="00BB60D5">
              <w:rPr>
                <w:rStyle w:val="Hyperlink"/>
                <w:color w:val="004689" w:themeColor="text1" w:themeShade="BF"/>
              </w:rPr>
              <w:t>What is a population health fellowship?</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_Toc86227529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4</w:t>
            </w:r>
            <w:r w:rsidRPr="00A541B0" w:rsidR="00BB60D5">
              <w:rPr>
                <w:webHidden/>
                <w:color w:val="004689" w:themeColor="text1" w:themeShade="BF"/>
              </w:rPr>
              <w:fldChar w:fldCharType="end"/>
            </w:r>
          </w:hyperlink>
        </w:p>
        <w:p w:rsidRPr="00A541B0" w:rsidR="00BB60D5" w:rsidP="006B289F" w:rsidRDefault="00786E4D" w14:paraId="43C45255" w14:textId="19E666A0">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0">
            <w:r w:rsidRPr="00A541B0" w:rsidR="00BB60D5">
              <w:rPr>
                <w:rStyle w:val="Hyperlink"/>
                <w:b/>
                <w:bCs/>
                <w:noProof/>
                <w:color w:val="004689" w:themeColor="text1" w:themeShade="BF"/>
              </w:rPr>
              <w:t>The value of a population health fellowship</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_Toc86227530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4</w:t>
            </w:r>
            <w:r w:rsidRPr="00A541B0" w:rsidR="00BB60D5">
              <w:rPr>
                <w:noProof/>
                <w:webHidden/>
                <w:color w:val="004689" w:themeColor="text1" w:themeShade="BF"/>
              </w:rPr>
              <w:fldChar w:fldCharType="end"/>
            </w:r>
          </w:hyperlink>
        </w:p>
        <w:p w:rsidRPr="00A541B0" w:rsidR="00BB60D5" w:rsidP="006B289F" w:rsidRDefault="00786E4D" w14:paraId="5D974E6F" w14:textId="758EEFA1">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1">
            <w:r w:rsidRPr="00A541B0" w:rsidR="00BB60D5">
              <w:rPr>
                <w:rStyle w:val="Hyperlink"/>
                <w:b/>
                <w:bCs/>
                <w:noProof/>
                <w:color w:val="004689" w:themeColor="text1" w:themeShade="BF"/>
              </w:rPr>
              <w:t>Application cycle and number of posts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_Toc86227531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5</w:t>
            </w:r>
            <w:r w:rsidRPr="00A541B0" w:rsidR="00BB60D5">
              <w:rPr>
                <w:noProof/>
                <w:webHidden/>
                <w:color w:val="004689" w:themeColor="text1" w:themeShade="BF"/>
              </w:rPr>
              <w:fldChar w:fldCharType="end"/>
            </w:r>
          </w:hyperlink>
        </w:p>
        <w:p w:rsidRPr="00A541B0" w:rsidR="00BB60D5" w:rsidP="006B289F" w:rsidRDefault="00786E4D" w14:paraId="10A8E413" w14:textId="1AD7CFAD">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2">
            <w:r w:rsidRPr="00A541B0" w:rsidR="00BB60D5">
              <w:rPr>
                <w:rStyle w:val="Hyperlink"/>
                <w:b/>
                <w:bCs/>
                <w:noProof/>
                <w:color w:val="004689" w:themeColor="text1" w:themeShade="BF"/>
              </w:rPr>
              <w:t>Eligibility</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_Toc86227532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5</w:t>
            </w:r>
            <w:r w:rsidRPr="00A541B0" w:rsidR="00BB60D5">
              <w:rPr>
                <w:noProof/>
                <w:webHidden/>
                <w:color w:val="004689" w:themeColor="text1" w:themeShade="BF"/>
              </w:rPr>
              <w:fldChar w:fldCharType="end"/>
            </w:r>
          </w:hyperlink>
        </w:p>
        <w:p w:rsidRPr="00A541B0" w:rsidR="00BB60D5" w:rsidP="00083DB4" w:rsidRDefault="00786E4D" w14:paraId="3A426805" w14:textId="0F5EE3B6">
          <w:pPr>
            <w:pStyle w:val="TOC1"/>
            <w:rPr>
              <w:rFonts w:asciiTheme="minorHAnsi" w:hAnsiTheme="minorHAnsi"/>
              <w:color w:val="004689" w:themeColor="text1" w:themeShade="BF"/>
              <w:sz w:val="22"/>
              <w:szCs w:val="22"/>
              <w:lang w:eastAsia="en-GB"/>
            </w:rPr>
          </w:pPr>
          <w:hyperlink w:history="1" w:anchor="_Toc86227533">
            <w:r w:rsidRPr="00A541B0" w:rsidR="00BB60D5">
              <w:rPr>
                <w:rStyle w:val="Hyperlink"/>
                <w:color w:val="004689" w:themeColor="text1" w:themeShade="BF"/>
              </w:rPr>
              <w:t>Appendix 1: Person Specification</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_Toc86227533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6</w:t>
            </w:r>
            <w:r w:rsidRPr="00A541B0" w:rsidR="00BB60D5">
              <w:rPr>
                <w:webHidden/>
                <w:color w:val="004689" w:themeColor="text1" w:themeShade="BF"/>
              </w:rPr>
              <w:fldChar w:fldCharType="end"/>
            </w:r>
          </w:hyperlink>
        </w:p>
        <w:p w:rsidRPr="00A541B0" w:rsidR="00BB60D5" w:rsidP="00083DB4" w:rsidRDefault="00786E4D" w14:paraId="209D6DB9" w14:textId="649F1E6A">
          <w:pPr>
            <w:pStyle w:val="TOC1"/>
            <w:rPr>
              <w:rFonts w:asciiTheme="minorHAnsi" w:hAnsiTheme="minorHAnsi"/>
              <w:color w:val="004689" w:themeColor="text1" w:themeShade="BF"/>
              <w:sz w:val="22"/>
              <w:szCs w:val="22"/>
              <w:lang w:eastAsia="en-GB"/>
            </w:rPr>
          </w:pPr>
          <w:hyperlink w:history="1" w:anchor="_Toc86227534">
            <w:r w:rsidRPr="00A541B0" w:rsidR="00BB60D5">
              <w:rPr>
                <w:rStyle w:val="Hyperlink"/>
                <w:color w:val="004689" w:themeColor="text1" w:themeShade="BF"/>
              </w:rPr>
              <w:t>Appendix 2: population health projects</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_Toc86227534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7</w:t>
            </w:r>
            <w:r w:rsidRPr="00A541B0" w:rsidR="00BB60D5">
              <w:rPr>
                <w:webHidden/>
                <w:color w:val="004689" w:themeColor="text1" w:themeShade="BF"/>
              </w:rPr>
              <w:fldChar w:fldCharType="end"/>
            </w:r>
          </w:hyperlink>
        </w:p>
        <w:p w:rsidRPr="00A541B0" w:rsidR="00BB60D5" w:rsidP="006B289F" w:rsidRDefault="00786E4D" w14:paraId="528706E1" w14:textId="162D8EFF">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5">
            <w:r w:rsidRPr="00A541B0" w:rsidR="00BB60D5">
              <w:rPr>
                <w:rStyle w:val="Hyperlink"/>
                <w:b/>
                <w:bCs/>
                <w:noProof/>
                <w:color w:val="004689" w:themeColor="text1" w:themeShade="BF"/>
              </w:rPr>
              <w:t>Real life examples of population health projects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_Toc86227535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7</w:t>
            </w:r>
            <w:r w:rsidRPr="00A541B0" w:rsidR="00BB60D5">
              <w:rPr>
                <w:noProof/>
                <w:webHidden/>
                <w:color w:val="004689" w:themeColor="text1" w:themeShade="BF"/>
              </w:rPr>
              <w:fldChar w:fldCharType="end"/>
            </w:r>
          </w:hyperlink>
        </w:p>
        <w:p w:rsidRPr="00A541B0" w:rsidR="00BB60D5" w:rsidP="00083DB4" w:rsidRDefault="00786E4D" w14:paraId="211FDA2E" w14:textId="0A08FD26">
          <w:pPr>
            <w:pStyle w:val="TOC1"/>
            <w:rPr>
              <w:rFonts w:asciiTheme="minorHAnsi" w:hAnsiTheme="minorHAnsi"/>
              <w:color w:val="004689" w:themeColor="text1" w:themeShade="BF"/>
              <w:sz w:val="22"/>
              <w:szCs w:val="22"/>
              <w:lang w:eastAsia="en-GB"/>
            </w:rPr>
          </w:pPr>
          <w:hyperlink w:history="1" w:anchor="_Toc86227536">
            <w:r w:rsidRPr="00A541B0" w:rsidR="00BB60D5">
              <w:rPr>
                <w:rStyle w:val="Hyperlink"/>
                <w:color w:val="004689" w:themeColor="text1" w:themeShade="BF"/>
              </w:rPr>
              <w:t>Appendix 3: aims and competencies to be achieved</w:t>
            </w:r>
            <w:r w:rsidRPr="00A541B0" w:rsidR="00BB60D5">
              <w:rPr>
                <w:webHidden/>
                <w:color w:val="004689" w:themeColor="text1" w:themeShade="BF"/>
              </w:rPr>
              <w:tab/>
            </w:r>
            <w:r w:rsidRPr="00A541B0" w:rsidR="00BB60D5">
              <w:rPr>
                <w:webHidden/>
                <w:color w:val="004689" w:themeColor="text1" w:themeShade="BF"/>
              </w:rPr>
              <w:fldChar w:fldCharType="begin"/>
            </w:r>
            <w:r w:rsidRPr="00A541B0" w:rsidR="00BB60D5">
              <w:rPr>
                <w:webHidden/>
                <w:color w:val="004689" w:themeColor="text1" w:themeShade="BF"/>
              </w:rPr>
              <w:instrText xml:space="preserve"> PAGEREF _Toc86227536 \h </w:instrText>
            </w:r>
            <w:r w:rsidRPr="00A541B0" w:rsidR="00BB60D5">
              <w:rPr>
                <w:webHidden/>
                <w:color w:val="004689" w:themeColor="text1" w:themeShade="BF"/>
              </w:rPr>
            </w:r>
            <w:r w:rsidRPr="00A541B0" w:rsidR="00BB60D5">
              <w:rPr>
                <w:webHidden/>
                <w:color w:val="004689" w:themeColor="text1" w:themeShade="BF"/>
              </w:rPr>
              <w:fldChar w:fldCharType="separate"/>
            </w:r>
            <w:r w:rsidRPr="00A541B0" w:rsidR="00EB5990">
              <w:rPr>
                <w:webHidden/>
                <w:color w:val="004689" w:themeColor="text1" w:themeShade="BF"/>
              </w:rPr>
              <w:t>11</w:t>
            </w:r>
            <w:r w:rsidRPr="00A541B0" w:rsidR="00BB60D5">
              <w:rPr>
                <w:webHidden/>
                <w:color w:val="004689" w:themeColor="text1" w:themeShade="BF"/>
              </w:rPr>
              <w:fldChar w:fldCharType="end"/>
            </w:r>
          </w:hyperlink>
        </w:p>
        <w:p w:rsidRPr="00A541B0" w:rsidR="00BB60D5" w:rsidP="006B289F" w:rsidRDefault="00786E4D" w14:paraId="5E01D486" w14:textId="736AE884">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7">
            <w:r w:rsidRPr="00A541B0" w:rsidR="00BB60D5">
              <w:rPr>
                <w:rStyle w:val="Hyperlink"/>
                <w:b/>
                <w:bCs/>
                <w:noProof/>
                <w:color w:val="004689" w:themeColor="text1" w:themeShade="BF"/>
              </w:rPr>
              <w:t>Aims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_Toc86227537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11</w:t>
            </w:r>
            <w:r w:rsidRPr="00A541B0" w:rsidR="00BB60D5">
              <w:rPr>
                <w:noProof/>
                <w:webHidden/>
                <w:color w:val="004689" w:themeColor="text1" w:themeShade="BF"/>
              </w:rPr>
              <w:fldChar w:fldCharType="end"/>
            </w:r>
          </w:hyperlink>
        </w:p>
        <w:p w:rsidRPr="00A541B0" w:rsidR="00BB60D5" w:rsidP="006B289F" w:rsidRDefault="00786E4D" w14:paraId="07431344" w14:textId="739991AD">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8">
            <w:r w:rsidRPr="00A541B0" w:rsidR="00BB60D5">
              <w:rPr>
                <w:rStyle w:val="Hyperlink"/>
                <w:b/>
                <w:bCs/>
                <w:noProof/>
                <w:color w:val="004689" w:themeColor="text1" w:themeShade="BF"/>
              </w:rPr>
              <w:t>Curriculum areas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_Toc86227538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11</w:t>
            </w:r>
            <w:r w:rsidRPr="00A541B0" w:rsidR="00BB60D5">
              <w:rPr>
                <w:noProof/>
                <w:webHidden/>
                <w:color w:val="004689" w:themeColor="text1" w:themeShade="BF"/>
              </w:rPr>
              <w:fldChar w:fldCharType="end"/>
            </w:r>
          </w:hyperlink>
        </w:p>
        <w:p w:rsidRPr="00A541B0" w:rsidR="00BB60D5" w:rsidP="006B289F" w:rsidRDefault="00786E4D" w14:paraId="3346D179" w14:textId="132E88D1">
          <w:pPr>
            <w:pStyle w:val="TOC2"/>
            <w:spacing w:before="100" w:beforeAutospacing="1" w:afterAutospacing="1"/>
            <w:rPr>
              <w:rFonts w:asciiTheme="minorHAnsi" w:hAnsiTheme="minorHAnsi"/>
              <w:noProof/>
              <w:color w:val="004689" w:themeColor="text1" w:themeShade="BF"/>
              <w:sz w:val="22"/>
              <w:szCs w:val="22"/>
              <w:lang w:eastAsia="en-GB"/>
            </w:rPr>
          </w:pPr>
          <w:hyperlink w:history="1" w:anchor="_Toc86227539">
            <w:r w:rsidRPr="00A541B0" w:rsidR="00BB60D5">
              <w:rPr>
                <w:rStyle w:val="Hyperlink"/>
                <w:b/>
                <w:bCs/>
                <w:noProof/>
                <w:color w:val="004689" w:themeColor="text1" w:themeShade="BF"/>
              </w:rPr>
              <w:t>Learning objectives</w:t>
            </w:r>
            <w:r w:rsidRPr="00A541B0" w:rsidR="00BB60D5">
              <w:rPr>
                <w:noProof/>
                <w:webHidden/>
                <w:color w:val="004689" w:themeColor="text1" w:themeShade="BF"/>
              </w:rPr>
              <w:tab/>
            </w:r>
            <w:r w:rsidRPr="00A541B0" w:rsidR="00BB60D5">
              <w:rPr>
                <w:noProof/>
                <w:webHidden/>
                <w:color w:val="004689" w:themeColor="text1" w:themeShade="BF"/>
              </w:rPr>
              <w:fldChar w:fldCharType="begin"/>
            </w:r>
            <w:r w:rsidRPr="00A541B0" w:rsidR="00BB60D5">
              <w:rPr>
                <w:noProof/>
                <w:webHidden/>
                <w:color w:val="004689" w:themeColor="text1" w:themeShade="BF"/>
              </w:rPr>
              <w:instrText xml:space="preserve"> PAGEREF _Toc86227539 \h </w:instrText>
            </w:r>
            <w:r w:rsidRPr="00A541B0" w:rsidR="00BB60D5">
              <w:rPr>
                <w:noProof/>
                <w:webHidden/>
                <w:color w:val="004689" w:themeColor="text1" w:themeShade="BF"/>
              </w:rPr>
            </w:r>
            <w:r w:rsidRPr="00A541B0" w:rsidR="00BB60D5">
              <w:rPr>
                <w:noProof/>
                <w:webHidden/>
                <w:color w:val="004689" w:themeColor="text1" w:themeShade="BF"/>
              </w:rPr>
              <w:fldChar w:fldCharType="separate"/>
            </w:r>
            <w:r w:rsidRPr="00A541B0" w:rsidR="00EB5990">
              <w:rPr>
                <w:noProof/>
                <w:webHidden/>
                <w:color w:val="004689" w:themeColor="text1" w:themeShade="BF"/>
              </w:rPr>
              <w:t>12</w:t>
            </w:r>
            <w:r w:rsidRPr="00A541B0" w:rsidR="00BB60D5">
              <w:rPr>
                <w:noProof/>
                <w:webHidden/>
                <w:color w:val="004689" w:themeColor="text1" w:themeShade="BF"/>
              </w:rPr>
              <w:fldChar w:fldCharType="end"/>
            </w:r>
          </w:hyperlink>
        </w:p>
        <w:p w:rsidR="0055417B" w:rsidP="006B289F" w:rsidRDefault="0055417B" w14:paraId="1F8EFAAC" w14:textId="1FB07CE9">
          <w:pPr>
            <w:spacing w:before="100" w:beforeAutospacing="1" w:after="100" w:afterAutospacing="1"/>
          </w:pPr>
          <w:r w:rsidRPr="00A541B0">
            <w:rPr>
              <w:b/>
              <w:bCs/>
              <w:noProof/>
              <w:color w:val="004689" w:themeColor="text1" w:themeShade="BF"/>
            </w:rPr>
            <w:fldChar w:fldCharType="end"/>
          </w:r>
        </w:p>
      </w:sdtContent>
    </w:sdt>
    <w:p w:rsidRPr="00A541B0" w:rsidR="004D7A1E" w:rsidP="004D7A1E" w:rsidRDefault="004D7A1E" w14:paraId="3C666880" w14:textId="3A8B3A33">
      <w:pPr>
        <w:pStyle w:val="Heading1"/>
        <w:rPr>
          <w:color w:val="004689" w:themeColor="text1" w:themeShade="BF"/>
        </w:rPr>
      </w:pPr>
      <w:bookmarkStart w:name="_Toc86227523" w:id="6"/>
      <w:r w:rsidRPr="00A541B0">
        <w:rPr>
          <w:color w:val="004689" w:themeColor="text1" w:themeShade="BF"/>
        </w:rPr>
        <w:t>Programme Summary</w:t>
      </w:r>
      <w:bookmarkEnd w:id="6"/>
    </w:p>
    <w:p w:rsidRPr="00B34AD4" w:rsidR="004D7A1E" w:rsidP="004D7A1E" w:rsidRDefault="004D7A1E" w14:paraId="3FC3D150" w14:textId="77777777">
      <w:pPr>
        <w:pStyle w:val="BodyCopy"/>
        <w:spacing w:before="0" w:line="240" w:lineRule="auto"/>
        <w:rPr>
          <w:rFonts w:cs="Arial"/>
          <w:sz w:val="24"/>
          <w:szCs w:val="24"/>
        </w:rPr>
      </w:pPr>
      <w:r w:rsidRPr="00B34AD4">
        <w:rPr>
          <w:rFonts w:cs="Arial"/>
          <w:sz w:val="24"/>
          <w:szCs w:val="24"/>
        </w:rPr>
        <w:t xml:space="preserve">Population health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Contemporary healthcare is increasingly focused on optimising patient care and outcomes at the population level and therefore clinicians across all of healthcare require skills in population health to achieve this. There </w:t>
      </w:r>
      <w:r>
        <w:rPr>
          <w:rFonts w:cs="Arial"/>
          <w:sz w:val="24"/>
          <w:szCs w:val="24"/>
        </w:rPr>
        <w:t>have been many</w:t>
      </w:r>
      <w:r w:rsidRPr="00B34AD4">
        <w:rPr>
          <w:rFonts w:cs="Arial"/>
          <w:sz w:val="24"/>
          <w:szCs w:val="24"/>
        </w:rPr>
        <w:t xml:space="preserve"> examples of population health approaches that have significantly improved patient care and outcomes. </w:t>
      </w:r>
    </w:p>
    <w:p w:rsidR="004D7A1E" w:rsidP="004D7A1E" w:rsidRDefault="004D7A1E" w14:paraId="5641C998" w14:textId="77777777">
      <w:pPr>
        <w:pStyle w:val="BodyCopy"/>
        <w:spacing w:before="0" w:line="240" w:lineRule="auto"/>
        <w:rPr>
          <w:rFonts w:cs="Arial"/>
          <w:sz w:val="24"/>
          <w:szCs w:val="24"/>
        </w:rPr>
      </w:pPr>
    </w:p>
    <w:p w:rsidR="001F504E" w:rsidP="7CF2CA8E" w:rsidRDefault="004D7A1E" w14:paraId="3819945C" w14:textId="3FD6060C">
      <w:pPr>
        <w:pStyle w:val="BodyCopy"/>
        <w:suppressLineNumbers w:val="0"/>
        <w:bidi w:val="0"/>
        <w:spacing w:before="0" w:beforeAutospacing="off" w:after="0" w:afterAutospacing="off" w:line="240" w:lineRule="auto"/>
        <w:ind w:left="0" w:right="0"/>
        <w:jc w:val="left"/>
        <w:rPr>
          <w:rFonts w:cs="Arial"/>
          <w:color w:val="000000"/>
          <w:sz w:val="24"/>
          <w:szCs w:val="24"/>
        </w:rPr>
      </w:pPr>
      <w:r w:rsidRPr="7CF2CA8E" w:rsidR="004D7A1E">
        <w:rPr>
          <w:rFonts w:cs="Arial"/>
          <w:sz w:val="24"/>
          <w:szCs w:val="24"/>
        </w:rPr>
        <w:t>This Rough Guide outlines the Population Health Fellowship for health</w:t>
      </w:r>
      <w:r w:rsidRPr="7CF2CA8E" w:rsidR="00B67EE9">
        <w:rPr>
          <w:rFonts w:cs="Arial"/>
          <w:sz w:val="24"/>
          <w:szCs w:val="24"/>
        </w:rPr>
        <w:t xml:space="preserve"> and </w:t>
      </w:r>
      <w:r w:rsidRPr="7CF2CA8E" w:rsidR="004D7A1E">
        <w:rPr>
          <w:rFonts w:cs="Arial"/>
          <w:sz w:val="24"/>
          <w:szCs w:val="24"/>
        </w:rPr>
        <w:t xml:space="preserve">care from a non-population health background. </w:t>
      </w:r>
      <w:r w:rsidRPr="7CF2CA8E" w:rsidR="00173060">
        <w:rPr>
          <w:rFonts w:cs="Arial"/>
          <w:sz w:val="24"/>
          <w:szCs w:val="24"/>
        </w:rPr>
        <w:t>It is</w:t>
      </w:r>
      <w:r w:rsidRPr="7CF2CA8E" w:rsidR="004D7A1E">
        <w:rPr>
          <w:rFonts w:cs="Arial"/>
          <w:sz w:val="24"/>
          <w:szCs w:val="24"/>
        </w:rPr>
        <w:t xml:space="preserve"> a 1-year part-time programme (i.e., 2 days a week alongside </w:t>
      </w:r>
      <w:r w:rsidRPr="7CF2CA8E" w:rsidR="001F504E">
        <w:rPr>
          <w:rFonts w:cs="Arial"/>
          <w:sz w:val="24"/>
          <w:szCs w:val="24"/>
        </w:rPr>
        <w:t>substantive</w:t>
      </w:r>
      <w:r w:rsidRPr="7CF2CA8E" w:rsidR="004D7A1E">
        <w:rPr>
          <w:rFonts w:cs="Arial"/>
          <w:sz w:val="24"/>
          <w:szCs w:val="24"/>
        </w:rPr>
        <w:t xml:space="preserve"> </w:t>
      </w:r>
      <w:r w:rsidRPr="7CF2CA8E" w:rsidR="001F504E">
        <w:rPr>
          <w:rFonts w:cs="Arial"/>
          <w:sz w:val="24"/>
          <w:szCs w:val="24"/>
        </w:rPr>
        <w:t>post</w:t>
      </w:r>
      <w:r w:rsidRPr="7CF2CA8E" w:rsidR="00875EF6">
        <w:rPr>
          <w:rFonts w:cs="Arial"/>
          <w:sz w:val="24"/>
          <w:szCs w:val="24"/>
        </w:rPr>
        <w:t>s</w:t>
      </w:r>
      <w:r w:rsidRPr="7CF2CA8E" w:rsidR="004D7A1E">
        <w:rPr>
          <w:rFonts w:cs="Arial"/>
          <w:sz w:val="24"/>
          <w:szCs w:val="24"/>
        </w:rPr>
        <w:t xml:space="preserve">) where fellows will </w:t>
      </w:r>
      <w:r w:rsidRPr="7CF2CA8E" w:rsidR="000E6E43">
        <w:rPr>
          <w:rFonts w:cs="Arial"/>
          <w:sz w:val="24"/>
          <w:szCs w:val="24"/>
        </w:rPr>
        <w:t>work</w:t>
      </w:r>
      <w:r w:rsidRPr="7CF2CA8E" w:rsidR="004D7A1E">
        <w:rPr>
          <w:rFonts w:cs="Arial"/>
          <w:sz w:val="24"/>
          <w:szCs w:val="24"/>
        </w:rPr>
        <w:t xml:space="preserve"> on a population health </w:t>
      </w:r>
      <w:r w:rsidRPr="7CF2CA8E" w:rsidR="004D7A1E">
        <w:rPr>
          <w:rFonts w:cs="Arial"/>
          <w:sz w:val="24"/>
          <w:szCs w:val="24"/>
        </w:rPr>
        <w:t>project</w:t>
      </w:r>
      <w:r w:rsidRPr="7CF2CA8E" w:rsidR="00824BF2">
        <w:rPr>
          <w:rFonts w:cs="Arial"/>
          <w:sz w:val="24"/>
          <w:szCs w:val="24"/>
        </w:rPr>
        <w:t xml:space="preserve"> and they </w:t>
      </w:r>
      <w:r w:rsidRPr="7CF2CA8E" w:rsidR="004D7A1E">
        <w:rPr>
          <w:rFonts w:cs="Arial"/>
          <w:sz w:val="24"/>
          <w:szCs w:val="24"/>
        </w:rPr>
        <w:t xml:space="preserve">will be supported by a blended learning programme. The aim is to develop a </w:t>
      </w:r>
      <w:r w:rsidRPr="7CF2CA8E" w:rsidR="00A86EDD">
        <w:rPr>
          <w:rFonts w:cs="Arial"/>
          <w:sz w:val="24"/>
          <w:szCs w:val="24"/>
        </w:rPr>
        <w:t xml:space="preserve">growing </w:t>
      </w:r>
      <w:r w:rsidRPr="7CF2CA8E" w:rsidR="004D7A1E">
        <w:rPr>
          <w:rFonts w:cs="Arial"/>
          <w:sz w:val="24"/>
          <w:szCs w:val="24"/>
        </w:rPr>
        <w:t xml:space="preserve">network of </w:t>
      </w:r>
      <w:r w:rsidRPr="7CF2CA8E" w:rsidR="001F504E">
        <w:rPr>
          <w:rFonts w:cs="Arial"/>
          <w:sz w:val="24"/>
          <w:szCs w:val="24"/>
        </w:rPr>
        <w:t>professionals</w:t>
      </w:r>
      <w:r w:rsidRPr="7CF2CA8E" w:rsidR="004D7A1E">
        <w:rPr>
          <w:rFonts w:cs="Arial"/>
          <w:sz w:val="24"/>
          <w:szCs w:val="24"/>
        </w:rPr>
        <w:t xml:space="preserve"> from a non-population health background with population health skills to </w:t>
      </w:r>
      <w:r w:rsidRPr="7CF2CA8E" w:rsidR="004D7A1E">
        <w:rPr>
          <w:rFonts w:cs="Arial"/>
          <w:sz w:val="24"/>
          <w:szCs w:val="24"/>
        </w:rPr>
        <w:t>benefit</w:t>
      </w:r>
      <w:r w:rsidRPr="7CF2CA8E" w:rsidR="004D7A1E">
        <w:rPr>
          <w:rFonts w:cs="Arial"/>
          <w:sz w:val="24"/>
          <w:szCs w:val="24"/>
        </w:rPr>
        <w:t xml:space="preserve"> place-based healthcare systems across England. </w:t>
      </w:r>
      <w:r w:rsidRPr="7CF2CA8E" w:rsidR="001F504E">
        <w:rPr>
          <w:rFonts w:cs="Arial"/>
          <w:color w:val="000000"/>
          <w:sz w:val="24"/>
          <w:szCs w:val="24"/>
        </w:rPr>
        <w:t xml:space="preserve">The start date </w:t>
      </w:r>
      <w:r w:rsidRPr="7CF2CA8E" w:rsidR="001F504E">
        <w:rPr>
          <w:rFonts w:cs="Arial"/>
          <w:color w:val="000000"/>
          <w:sz w:val="24"/>
          <w:szCs w:val="24"/>
        </w:rPr>
        <w:t xml:space="preserve">for </w:t>
      </w:r>
      <w:r w:rsidRPr="7CF2CA8E" w:rsidR="000C3097">
        <w:rPr>
          <w:rFonts w:cs="Arial"/>
          <w:color w:val="000000"/>
          <w:sz w:val="24"/>
          <w:szCs w:val="24"/>
        </w:rPr>
        <w:t>this</w:t>
      </w:r>
      <w:r w:rsidRPr="7CF2CA8E" w:rsidR="001F504E">
        <w:rPr>
          <w:rFonts w:cs="Arial"/>
          <w:color w:val="000000"/>
          <w:sz w:val="24"/>
          <w:szCs w:val="24"/>
        </w:rPr>
        <w:t xml:space="preserve"> cohort will be </w:t>
      </w:r>
      <w:r w:rsidRPr="7CF2CA8E" w:rsidR="78EAA539">
        <w:rPr>
          <w:rFonts w:cs="Arial"/>
          <w:color w:val="000000"/>
          <w:sz w:val="24"/>
          <w:szCs w:val="24"/>
        </w:rPr>
        <w:t>Wednesday</w:t>
      </w:r>
      <w:r w:rsidRPr="7CF2CA8E" w:rsidR="001F504E">
        <w:rPr>
          <w:rFonts w:cs="Arial"/>
          <w:color w:val="000000"/>
          <w:sz w:val="24"/>
          <w:szCs w:val="24"/>
        </w:rPr>
        <w:t xml:space="preserve"> </w:t>
      </w:r>
      <w:r w:rsidRPr="7CF2CA8E" w:rsidR="000C3097">
        <w:rPr>
          <w:rFonts w:cs="Arial"/>
          <w:color w:val="000000"/>
          <w:sz w:val="24"/>
          <w:szCs w:val="24"/>
        </w:rPr>
        <w:t>1</w:t>
      </w:r>
      <w:r w:rsidRPr="7CF2CA8E" w:rsidR="000C3097">
        <w:rPr>
          <w:rFonts w:cs="Arial"/>
          <w:color w:val="000000"/>
          <w:sz w:val="24"/>
          <w:szCs w:val="24"/>
          <w:vertAlign w:val="superscript"/>
        </w:rPr>
        <w:t>st</w:t>
      </w:r>
      <w:r w:rsidRPr="7CF2CA8E" w:rsidR="000C3097">
        <w:rPr>
          <w:rFonts w:cs="Arial"/>
          <w:color w:val="000000"/>
          <w:sz w:val="24"/>
          <w:szCs w:val="24"/>
        </w:rPr>
        <w:t xml:space="preserve"> October 202</w:t>
      </w:r>
      <w:r w:rsidRPr="7CF2CA8E" w:rsidR="2E5CAA28">
        <w:rPr>
          <w:rFonts w:cs="Arial"/>
          <w:color w:val="000000"/>
          <w:sz w:val="24"/>
          <w:szCs w:val="24"/>
        </w:rPr>
        <w:t>5</w:t>
      </w:r>
      <w:r w:rsidRPr="7CF2CA8E" w:rsidR="000C3097">
        <w:rPr>
          <w:rFonts w:cs="Arial"/>
          <w:color w:val="000000"/>
          <w:sz w:val="24"/>
          <w:szCs w:val="24"/>
        </w:rPr>
        <w:t>.</w:t>
      </w:r>
    </w:p>
    <w:p w:rsidR="001F504E" w:rsidP="004D7A1E" w:rsidRDefault="001F504E" w14:paraId="13943FF5" w14:textId="485D61A4">
      <w:pPr>
        <w:pStyle w:val="BodyCopy"/>
        <w:spacing w:before="0" w:line="240" w:lineRule="auto"/>
        <w:rPr>
          <w:rFonts w:cs="Arial"/>
          <w:sz w:val="24"/>
          <w:szCs w:val="24"/>
        </w:rPr>
      </w:pPr>
    </w:p>
    <w:p w:rsidR="004D7A1E" w:rsidP="56CBDA91" w:rsidRDefault="004D7A1E" w14:paraId="2C8F5686" w14:textId="03AAD531">
      <w:pPr>
        <w:pStyle w:val="BodyCopy"/>
        <w:spacing w:before="0" w:line="240" w:lineRule="auto"/>
        <w:rPr>
          <w:rFonts w:cs="Arial"/>
          <w:sz w:val="24"/>
          <w:szCs w:val="24"/>
        </w:rPr>
      </w:pPr>
      <w:r>
        <w:rPr>
          <w:rFonts w:cs="Arial"/>
          <w:sz w:val="24"/>
          <w:szCs w:val="24"/>
        </w:rPr>
        <w:t xml:space="preserve">The </w:t>
      </w:r>
      <w:r w:rsidR="00480FA1">
        <w:rPr>
          <w:rFonts w:cs="Arial"/>
          <w:sz w:val="24"/>
          <w:szCs w:val="24"/>
        </w:rPr>
        <w:t>fellowship</w:t>
      </w:r>
      <w:r>
        <w:rPr>
          <w:rFonts w:cs="Arial"/>
          <w:sz w:val="24"/>
          <w:szCs w:val="24"/>
        </w:rPr>
        <w:t xml:space="preserve"> is</w:t>
      </w:r>
      <w:r w:rsidR="001F504E">
        <w:rPr>
          <w:rFonts w:cs="Arial"/>
          <w:sz w:val="24"/>
          <w:szCs w:val="24"/>
        </w:rPr>
        <w:t xml:space="preserve"> </w:t>
      </w:r>
      <w:r>
        <w:rPr>
          <w:rFonts w:cs="Arial"/>
          <w:sz w:val="24"/>
          <w:szCs w:val="24"/>
        </w:rPr>
        <w:t xml:space="preserve">open to </w:t>
      </w:r>
      <w:r w:rsidR="000432D8">
        <w:rPr>
          <w:rFonts w:cs="Arial"/>
          <w:sz w:val="24"/>
          <w:szCs w:val="24"/>
        </w:rPr>
        <w:t>health and care professionals from a</w:t>
      </w:r>
      <w:r w:rsidRPr="00EB2A95">
        <w:rPr>
          <w:rFonts w:cs="Arial"/>
          <w:sz w:val="24"/>
          <w:szCs w:val="24"/>
        </w:rPr>
        <w:t xml:space="preserve"> broad range of backgrounds</w:t>
      </w:r>
      <w:r>
        <w:rPr>
          <w:rFonts w:cs="Arial"/>
          <w:sz w:val="24"/>
          <w:szCs w:val="24"/>
        </w:rPr>
        <w:t xml:space="preserve"> who have not worked or trained in population health</w:t>
      </w:r>
      <w:r w:rsidR="0091587F">
        <w:rPr>
          <w:rFonts w:cs="Arial"/>
          <w:sz w:val="24"/>
          <w:szCs w:val="24"/>
        </w:rPr>
        <w:t xml:space="preserve">. This includes </w:t>
      </w:r>
      <w:r w:rsidR="00143071">
        <w:rPr>
          <w:rFonts w:cs="Arial"/>
          <w:sz w:val="24"/>
          <w:szCs w:val="24"/>
        </w:rPr>
        <w:t xml:space="preserve">clinicians and </w:t>
      </w:r>
      <w:r w:rsidR="00E676F2">
        <w:rPr>
          <w:rFonts w:cs="Arial"/>
          <w:sz w:val="24"/>
          <w:szCs w:val="24"/>
        </w:rPr>
        <w:t>the</w:t>
      </w:r>
      <w:r w:rsidR="00143071">
        <w:rPr>
          <w:rFonts w:cs="Arial"/>
          <w:sz w:val="24"/>
          <w:szCs w:val="24"/>
        </w:rPr>
        <w:t xml:space="preserve"> wider workforce. </w:t>
      </w:r>
      <w:r w:rsidRPr="00EB2A95">
        <w:rPr>
          <w:rFonts w:cs="Arial"/>
          <w:sz w:val="24"/>
          <w:szCs w:val="24"/>
        </w:rPr>
        <w:t xml:space="preserve"> </w:t>
      </w:r>
    </w:p>
    <w:p w:rsidR="00033158" w:rsidP="56CBDA91" w:rsidRDefault="00033158" w14:paraId="527D2B76" w14:textId="77777777">
      <w:pPr>
        <w:pStyle w:val="BodyCopy"/>
        <w:spacing w:before="0" w:line="240" w:lineRule="auto"/>
        <w:rPr>
          <w:rFonts w:cs="Arial"/>
          <w:color w:val="000000"/>
          <w:sz w:val="24"/>
          <w:szCs w:val="24"/>
          <w:highlight w:val="yellow"/>
        </w:rPr>
      </w:pPr>
    </w:p>
    <w:p w:rsidR="004D7A1E" w:rsidP="004D7A1E" w:rsidRDefault="004D7A1E" w14:paraId="11F71F56" w14:textId="2DE906D4">
      <w:pPr>
        <w:pStyle w:val="BodyCopy"/>
        <w:spacing w:before="0" w:line="240" w:lineRule="auto"/>
        <w:rPr>
          <w:rFonts w:cs="Arial"/>
          <w:color w:val="000000"/>
          <w:sz w:val="24"/>
          <w:szCs w:val="24"/>
        </w:rPr>
      </w:pPr>
      <w:r w:rsidRPr="00B34AD4">
        <w:rPr>
          <w:rFonts w:cs="Arial"/>
          <w:color w:val="000000"/>
          <w:sz w:val="24"/>
          <w:szCs w:val="24"/>
        </w:rPr>
        <w:t>This guide presents the importance and value of population health in contemporary healthcare. The relationship of population health and public health is discussed. The guide outlines the structure of the fellowship and the eligibility</w:t>
      </w:r>
      <w:r>
        <w:rPr>
          <w:rFonts w:cs="Arial"/>
          <w:color w:val="000000"/>
          <w:sz w:val="24"/>
          <w:szCs w:val="24"/>
        </w:rPr>
        <w:t>.</w:t>
      </w:r>
      <w:r w:rsidRPr="00B34AD4">
        <w:rPr>
          <w:rFonts w:cs="Arial"/>
          <w:color w:val="000000"/>
          <w:sz w:val="24"/>
          <w:szCs w:val="24"/>
        </w:rPr>
        <w:t xml:space="preserve"> There </w:t>
      </w:r>
      <w:r>
        <w:rPr>
          <w:rFonts w:cs="Arial"/>
          <w:color w:val="000000"/>
          <w:sz w:val="24"/>
          <w:szCs w:val="24"/>
        </w:rPr>
        <w:t>are</w:t>
      </w:r>
      <w:r w:rsidRPr="00B34AD4">
        <w:rPr>
          <w:rFonts w:cs="Arial"/>
          <w:color w:val="000000"/>
          <w:sz w:val="24"/>
          <w:szCs w:val="24"/>
        </w:rPr>
        <w:t xml:space="preserve"> example</w:t>
      </w:r>
      <w:r>
        <w:rPr>
          <w:rFonts w:cs="Arial"/>
          <w:color w:val="000000"/>
          <w:sz w:val="24"/>
          <w:szCs w:val="24"/>
        </w:rPr>
        <w:t>s</w:t>
      </w:r>
      <w:r w:rsidRPr="00B34AD4">
        <w:rPr>
          <w:rFonts w:cs="Arial"/>
          <w:color w:val="000000"/>
          <w:sz w:val="24"/>
          <w:szCs w:val="24"/>
        </w:rPr>
        <w:t xml:space="preserve"> of population health projects in this guide to inform readers. </w:t>
      </w:r>
      <w:r>
        <w:rPr>
          <w:rFonts w:cs="Arial"/>
          <w:color w:val="000000"/>
          <w:sz w:val="24"/>
          <w:szCs w:val="24"/>
        </w:rPr>
        <w:t xml:space="preserve">This document only serves as a guide and is correct at the time of writing. The </w:t>
      </w:r>
      <w:r w:rsidR="00680EA9">
        <w:rPr>
          <w:rFonts w:cs="Arial"/>
          <w:color w:val="000000"/>
          <w:sz w:val="24"/>
          <w:szCs w:val="24"/>
        </w:rPr>
        <w:t>fellowship</w:t>
      </w:r>
      <w:r>
        <w:rPr>
          <w:rFonts w:cs="Arial"/>
          <w:color w:val="000000"/>
          <w:sz w:val="24"/>
          <w:szCs w:val="24"/>
        </w:rPr>
        <w:t xml:space="preserve"> may change at any time and the guide will be updated accordingly. </w:t>
      </w:r>
    </w:p>
    <w:p w:rsidR="004D7A1E" w:rsidP="004D7A1E" w:rsidRDefault="004D7A1E" w14:paraId="5079D2C0" w14:textId="66F9C993">
      <w:pPr>
        <w:pStyle w:val="BodyCopy"/>
        <w:spacing w:before="0" w:line="240" w:lineRule="auto"/>
        <w:rPr>
          <w:rFonts w:cs="Arial"/>
          <w:color w:val="000000"/>
          <w:sz w:val="24"/>
          <w:szCs w:val="24"/>
        </w:rPr>
      </w:pPr>
    </w:p>
    <w:p w:rsidR="00774E01" w:rsidP="004D7A1E" w:rsidRDefault="00774E01" w14:paraId="17B70138" w14:textId="62B67BA3">
      <w:pPr>
        <w:pStyle w:val="BodyCopy"/>
        <w:spacing w:before="0" w:line="240" w:lineRule="auto"/>
        <w:rPr>
          <w:rFonts w:cs="Arial"/>
          <w:color w:val="000000"/>
          <w:sz w:val="24"/>
          <w:szCs w:val="24"/>
        </w:rPr>
      </w:pPr>
    </w:p>
    <w:p w:rsidR="00774E01" w:rsidP="004D7A1E" w:rsidRDefault="00774E01" w14:paraId="0DB20232" w14:textId="010AF3D0">
      <w:pPr>
        <w:pStyle w:val="BodyCopy"/>
        <w:spacing w:before="0" w:line="240" w:lineRule="auto"/>
        <w:rPr>
          <w:rFonts w:cs="Arial"/>
          <w:color w:val="000000"/>
          <w:sz w:val="24"/>
          <w:szCs w:val="24"/>
        </w:rPr>
      </w:pPr>
    </w:p>
    <w:p w:rsidR="00774E01" w:rsidP="004D7A1E" w:rsidRDefault="00774E01" w14:paraId="1C381628" w14:textId="77777777">
      <w:pPr>
        <w:pStyle w:val="BodyCopy"/>
        <w:spacing w:before="0" w:line="240" w:lineRule="auto"/>
        <w:rPr>
          <w:rFonts w:cs="Arial"/>
          <w:color w:val="000000"/>
          <w:sz w:val="24"/>
          <w:szCs w:val="24"/>
        </w:rPr>
      </w:pPr>
    </w:p>
    <w:p w:rsidR="004D7A1E" w:rsidP="004D7A1E" w:rsidRDefault="004D7A1E" w14:paraId="6C96E58A" w14:textId="77777777">
      <w:pPr>
        <w:pStyle w:val="BodyCopy"/>
        <w:spacing w:before="0" w:line="240" w:lineRule="auto"/>
        <w:rPr>
          <w:rFonts w:cs="Arial"/>
          <w:color w:val="000000"/>
          <w:sz w:val="24"/>
          <w:szCs w:val="24"/>
        </w:rPr>
      </w:pPr>
    </w:p>
    <w:p w:rsidR="004D7A1E" w:rsidP="004D7A1E" w:rsidRDefault="004D7A1E" w14:paraId="73F0DE82" w14:textId="77777777">
      <w:pPr>
        <w:pStyle w:val="BodyCopy"/>
        <w:spacing w:before="0" w:line="240" w:lineRule="auto"/>
        <w:rPr>
          <w:rFonts w:cs="Arial"/>
          <w:color w:val="000000"/>
          <w:sz w:val="24"/>
          <w:szCs w:val="24"/>
        </w:rPr>
      </w:pPr>
    </w:p>
    <w:p w:rsidR="004D7A1E" w:rsidP="004D7A1E" w:rsidRDefault="004D7A1E" w14:paraId="7A951955" w14:textId="77777777">
      <w:pPr>
        <w:pStyle w:val="BodyCopy"/>
        <w:spacing w:before="0" w:line="240" w:lineRule="auto"/>
        <w:rPr>
          <w:rFonts w:cs="Arial"/>
          <w:color w:val="000000"/>
          <w:sz w:val="24"/>
          <w:szCs w:val="24"/>
        </w:rPr>
      </w:pPr>
    </w:p>
    <w:p w:rsidR="004D7A1E" w:rsidP="004D7A1E" w:rsidRDefault="004D7A1E" w14:paraId="44F9D8AD" w14:textId="77777777">
      <w:pPr>
        <w:pStyle w:val="BodyCopy"/>
        <w:spacing w:before="0" w:line="240" w:lineRule="auto"/>
        <w:rPr>
          <w:rFonts w:cs="Arial"/>
          <w:color w:val="000000"/>
          <w:sz w:val="24"/>
          <w:szCs w:val="24"/>
        </w:rPr>
      </w:pPr>
    </w:p>
    <w:p w:rsidR="004D7A1E" w:rsidP="004D7A1E" w:rsidRDefault="004D7A1E" w14:paraId="3FFA35FF" w14:textId="362AECCE">
      <w:pPr>
        <w:pStyle w:val="BodyCopy"/>
        <w:spacing w:before="0" w:line="240" w:lineRule="auto"/>
        <w:rPr>
          <w:rFonts w:cs="Arial"/>
          <w:color w:val="000000"/>
          <w:sz w:val="24"/>
          <w:szCs w:val="24"/>
        </w:rPr>
      </w:pPr>
    </w:p>
    <w:p w:rsidRPr="00FF25F5" w:rsidR="001F504E" w:rsidP="004D7A1E" w:rsidRDefault="001F504E" w14:paraId="27CB761A" w14:textId="77777777">
      <w:pPr>
        <w:pStyle w:val="BodyCopy"/>
        <w:spacing w:before="0" w:line="240" w:lineRule="auto"/>
        <w:rPr>
          <w:rFonts w:cs="Arial"/>
          <w:color w:val="000000"/>
          <w:sz w:val="24"/>
          <w:szCs w:val="24"/>
        </w:rPr>
      </w:pPr>
    </w:p>
    <w:p w:rsidR="00CC57A3" w:rsidRDefault="00CC57A3" w14:paraId="67158724" w14:textId="77777777">
      <w:pPr>
        <w:rPr>
          <w:rFonts w:cs="Arial" w:eastAsiaTheme="majorEastAsia"/>
          <w:b/>
          <w:bCs/>
          <w:color w:val="AE2473" w:themeColor="accent5"/>
          <w:sz w:val="40"/>
          <w:szCs w:val="40"/>
        </w:rPr>
      </w:pPr>
      <w:bookmarkStart w:name="_Toc86227524" w:id="7"/>
      <w:r>
        <w:br w:type="page"/>
      </w:r>
    </w:p>
    <w:p w:rsidRPr="00A541B0" w:rsidR="004D7A1E" w:rsidP="004D7A1E" w:rsidRDefault="004D7A1E" w14:paraId="7CF6469C" w14:textId="10174096">
      <w:pPr>
        <w:pStyle w:val="Heading1"/>
        <w:rPr>
          <w:color w:val="004689" w:themeColor="text1" w:themeShade="BF"/>
        </w:rPr>
      </w:pPr>
      <w:r w:rsidRPr="00A541B0">
        <w:rPr>
          <w:color w:val="004689" w:themeColor="text1" w:themeShade="BF"/>
        </w:rPr>
        <w:t>What is population health?</w:t>
      </w:r>
      <w:bookmarkEnd w:id="7"/>
    </w:p>
    <w:p w:rsidR="004D7A1E" w:rsidP="004D7A1E" w:rsidRDefault="004D7A1E" w14:paraId="0EFFB9BF" w14:textId="77777777">
      <w:pPr>
        <w:pStyle w:val="BodyCopy"/>
        <w:spacing w:before="0" w:line="240" w:lineRule="auto"/>
        <w:rPr>
          <w:rFonts w:cs="Arial"/>
          <w:sz w:val="24"/>
          <w:szCs w:val="24"/>
        </w:rPr>
      </w:pPr>
      <w:r w:rsidRPr="00A167CB">
        <w:rPr>
          <w:rFonts w:cs="Arial"/>
          <w:sz w:val="24"/>
          <w:szCs w:val="24"/>
        </w:rPr>
        <w:t xml:space="preserve">There are many definitions of population health and recently it has proved to be an evolving discipline of medicine. The agreed definition across the NHS for </w:t>
      </w:r>
      <w:r w:rsidRPr="00A167CB">
        <w:rPr>
          <w:rFonts w:cs="Arial"/>
          <w:i/>
          <w:sz w:val="24"/>
          <w:szCs w:val="24"/>
        </w:rPr>
        <w:t xml:space="preserve">population health </w:t>
      </w:r>
      <w:r w:rsidRPr="00A167CB">
        <w:rPr>
          <w:rFonts w:cs="Arial"/>
          <w:sz w:val="24"/>
          <w:szCs w:val="24"/>
        </w:rPr>
        <w:t xml:space="preserve">is: </w:t>
      </w:r>
    </w:p>
    <w:p w:rsidRPr="00A167CB" w:rsidR="004D7A1E" w:rsidP="004D7A1E" w:rsidRDefault="004D7A1E" w14:paraId="03859D98" w14:textId="77777777">
      <w:pPr>
        <w:pStyle w:val="BodyCopy"/>
        <w:spacing w:before="0" w:line="240" w:lineRule="auto"/>
        <w:rPr>
          <w:rFonts w:cs="Arial"/>
          <w:sz w:val="24"/>
          <w:szCs w:val="24"/>
        </w:rPr>
      </w:pPr>
    </w:p>
    <w:p w:rsidRPr="00B34AD4" w:rsidR="004D7A1E" w:rsidP="004D7A1E" w:rsidRDefault="004D7A1E" w14:paraId="37FB9574" w14:textId="77777777">
      <w:pPr>
        <w:pStyle w:val="BodyCopy"/>
        <w:spacing w:before="0" w:line="240" w:lineRule="auto"/>
        <w:rPr>
          <w:rFonts w:cs="Arial"/>
          <w:sz w:val="24"/>
          <w:szCs w:val="24"/>
        </w:rPr>
      </w:pPr>
      <w:r w:rsidRPr="00B34AD4">
        <w:rPr>
          <w:rFonts w:cs="Arial"/>
          <w:b/>
          <w:sz w:val="24"/>
          <w:szCs w:val="24"/>
        </w:rPr>
        <w:t>Population health</w:t>
      </w:r>
      <w:r w:rsidRPr="00B34AD4">
        <w:rPr>
          <w:rFonts w:cs="Arial"/>
          <w:sz w:val="24"/>
          <w:szCs w:val="24"/>
        </w:rPr>
        <w:t xml:space="preserve">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w:t>
      </w:r>
    </w:p>
    <w:p w:rsidRPr="00BA1B69" w:rsidR="004D7A1E" w:rsidP="004D7A1E" w:rsidRDefault="004D7A1E" w14:paraId="39BFEB06" w14:textId="77777777">
      <w:pPr>
        <w:rPr>
          <w:color w:val="00539A" w:themeColor="text2" w:themeShade="BF"/>
        </w:rPr>
      </w:pPr>
    </w:p>
    <w:p w:rsidRPr="00A541B0" w:rsidR="004D7A1E" w:rsidP="004D7A1E" w:rsidRDefault="004D7A1E" w14:paraId="4D8765B8" w14:textId="77777777">
      <w:pPr>
        <w:pStyle w:val="Heading2"/>
        <w:rPr>
          <w:color w:val="004689" w:themeColor="text1" w:themeShade="BF"/>
        </w:rPr>
      </w:pPr>
      <w:bookmarkStart w:name="_Toc86227200" w:id="8"/>
      <w:bookmarkStart w:name="_Toc86227525" w:id="9"/>
      <w:r w:rsidRPr="00A541B0">
        <w:rPr>
          <w:color w:val="004689" w:themeColor="text1" w:themeShade="BF"/>
        </w:rPr>
        <w:t>The importance of population health</w:t>
      </w:r>
      <w:bookmarkEnd w:id="8"/>
      <w:bookmarkEnd w:id="9"/>
      <w:r w:rsidRPr="00A541B0">
        <w:rPr>
          <w:color w:val="004689" w:themeColor="text1" w:themeShade="BF"/>
        </w:rPr>
        <w:t xml:space="preserve"> </w:t>
      </w:r>
    </w:p>
    <w:p w:rsidRPr="00A167CB" w:rsidR="004D7A1E" w:rsidP="004D7A1E" w:rsidRDefault="004D7A1E" w14:paraId="5E561E21" w14:textId="7FC11BAD">
      <w:pPr>
        <w:pStyle w:val="BodyCopy"/>
        <w:spacing w:line="240" w:lineRule="auto"/>
        <w:rPr>
          <w:rFonts w:cs="Arial"/>
          <w:sz w:val="24"/>
          <w:szCs w:val="24"/>
        </w:rPr>
      </w:pPr>
      <w:r w:rsidRPr="7CF2CA8E" w:rsidR="004D7A1E">
        <w:rPr>
          <w:rFonts w:cs="Arial"/>
          <w:sz w:val="24"/>
          <w:szCs w:val="24"/>
        </w:rPr>
        <w:t>The NHS Long-Term Plan</w:t>
      </w:r>
      <w:r w:rsidRPr="7CF2CA8E" w:rsidR="004D7A1E">
        <w:rPr>
          <w:rFonts w:cs="Arial"/>
          <w:sz w:val="24"/>
          <w:szCs w:val="24"/>
        </w:rPr>
        <w:t xml:space="preserve"> </w:t>
      </w:r>
      <w:r w:rsidRPr="7CF2CA8E" w:rsidR="004D7A1E">
        <w:rPr>
          <w:rFonts w:cs="Arial"/>
          <w:sz w:val="24"/>
          <w:szCs w:val="24"/>
        </w:rPr>
        <w:t xml:space="preserve">places significant emphasis on prevention of disease and population health. Contemporary healthcare is increasingly focused on </w:t>
      </w:r>
      <w:r w:rsidRPr="7CF2CA8E" w:rsidR="004D7A1E">
        <w:rPr>
          <w:rFonts w:cs="Arial"/>
          <w:sz w:val="24"/>
          <w:szCs w:val="24"/>
        </w:rPr>
        <w:t>optimising</w:t>
      </w:r>
      <w:r w:rsidRPr="7CF2CA8E" w:rsidR="004D7A1E">
        <w:rPr>
          <w:rFonts w:cs="Arial"/>
          <w:sz w:val="24"/>
          <w:szCs w:val="24"/>
        </w:rPr>
        <w:t xml:space="preserve"> patient care and outcomes at the population level</w:t>
      </w:r>
      <w:r w:rsidRPr="7CF2CA8E" w:rsidR="00774E01">
        <w:rPr>
          <w:rFonts w:cs="Arial"/>
          <w:sz w:val="24"/>
          <w:szCs w:val="24"/>
        </w:rPr>
        <w:t xml:space="preserve"> and reducing health inequalities</w:t>
      </w:r>
      <w:r w:rsidRPr="7CF2CA8E" w:rsidR="004D7A1E">
        <w:rPr>
          <w:rFonts w:cs="Arial"/>
          <w:sz w:val="24"/>
          <w:szCs w:val="24"/>
        </w:rPr>
        <w:t xml:space="preserve">.  </w:t>
      </w:r>
      <w:r w:rsidRPr="7CF2CA8E" w:rsidR="004D7A1E">
        <w:rPr>
          <w:rFonts w:cs="Arial"/>
          <w:sz w:val="24"/>
          <w:szCs w:val="24"/>
        </w:rPr>
        <w:t xml:space="preserve">Population health and </w:t>
      </w:r>
      <w:r w:rsidRPr="7CF2CA8E" w:rsidR="004D7A1E">
        <w:rPr>
          <w:rFonts w:cs="Arial"/>
          <w:sz w:val="24"/>
          <w:szCs w:val="24"/>
        </w:rPr>
        <w:t>individualised</w:t>
      </w:r>
      <w:r w:rsidRPr="7CF2CA8E" w:rsidR="004D7A1E">
        <w:rPr>
          <w:rFonts w:cs="Arial"/>
          <w:sz w:val="24"/>
          <w:szCs w:val="24"/>
        </w:rPr>
        <w:t xml:space="preserve"> healthcare are essential partners rather than concepts in conflict. Population health </w:t>
      </w:r>
      <w:r w:rsidRPr="7CF2CA8E" w:rsidR="004D7A1E">
        <w:rPr>
          <w:rFonts w:cs="Arial"/>
          <w:sz w:val="24"/>
          <w:szCs w:val="24"/>
        </w:rPr>
        <w:t>applies</w:t>
      </w:r>
      <w:r w:rsidRPr="7CF2CA8E" w:rsidR="004D7A1E">
        <w:rPr>
          <w:rFonts w:cs="Arial"/>
          <w:sz w:val="24"/>
          <w:szCs w:val="24"/>
        </w:rPr>
        <w:t xml:space="preserve"> a broader and </w:t>
      </w:r>
      <w:r w:rsidRPr="7CF2CA8E" w:rsidR="004D7A1E">
        <w:rPr>
          <w:rFonts w:cs="Arial"/>
          <w:sz w:val="24"/>
          <w:szCs w:val="24"/>
        </w:rPr>
        <w:t xml:space="preserve">more </w:t>
      </w:r>
      <w:r w:rsidRPr="7CF2CA8E" w:rsidR="004D7A1E">
        <w:rPr>
          <w:rFonts w:cs="Arial"/>
          <w:sz w:val="24"/>
          <w:szCs w:val="24"/>
        </w:rPr>
        <w:t xml:space="preserve">proactive view than traditional health care by extending the 1:1 individual approach to a targeted cohort of people (e.g., specific medical condition, community, age-group, etc.). It also adds the delivery of interventions such as risk factor modification, health promotion and community engagement within the interaction of a patient and </w:t>
      </w:r>
      <w:r w:rsidRPr="7CF2CA8E" w:rsidR="004D7A1E">
        <w:rPr>
          <w:rFonts w:cs="Arial"/>
          <w:sz w:val="24"/>
          <w:szCs w:val="24"/>
        </w:rPr>
        <w:t>a healthcare professional</w:t>
      </w:r>
      <w:r w:rsidRPr="7CF2CA8E" w:rsidR="004D7A1E">
        <w:rPr>
          <w:rFonts w:cs="Arial"/>
          <w:sz w:val="24"/>
          <w:szCs w:val="24"/>
        </w:rPr>
        <w:t xml:space="preserve">. Population health considers the determinants of health that fall beyond the immediate reach of the healthcare setting such as social circumstances, environmental </w:t>
      </w:r>
      <w:r w:rsidRPr="7CF2CA8E" w:rsidR="004D7A1E">
        <w:rPr>
          <w:rFonts w:cs="Arial"/>
          <w:sz w:val="24"/>
          <w:szCs w:val="24"/>
        </w:rPr>
        <w:t>exposures</w:t>
      </w:r>
      <w:r w:rsidRPr="7CF2CA8E" w:rsidR="004D7A1E">
        <w:rPr>
          <w:rFonts w:cs="Arial"/>
          <w:sz w:val="24"/>
          <w:szCs w:val="24"/>
        </w:rPr>
        <w:t xml:space="preserve"> and </w:t>
      </w:r>
      <w:r w:rsidRPr="7CF2CA8E" w:rsidR="004D7A1E">
        <w:rPr>
          <w:rFonts w:cs="Arial"/>
          <w:sz w:val="24"/>
          <w:szCs w:val="24"/>
        </w:rPr>
        <w:t>behaviours</w:t>
      </w:r>
      <w:r w:rsidRPr="7CF2CA8E" w:rsidR="004D7A1E">
        <w:rPr>
          <w:rFonts w:cs="Arial"/>
          <w:sz w:val="24"/>
          <w:szCs w:val="24"/>
        </w:rPr>
        <w:t xml:space="preserve">. Chronic conditions such as obesity, diabetes </w:t>
      </w:r>
      <w:r w:rsidRPr="7CF2CA8E" w:rsidR="004D7A1E">
        <w:rPr>
          <w:rFonts w:cs="Arial"/>
          <w:sz w:val="24"/>
          <w:szCs w:val="24"/>
        </w:rPr>
        <w:t>mellitus</w:t>
      </w:r>
      <w:r w:rsidRPr="7CF2CA8E" w:rsidR="004D7A1E">
        <w:rPr>
          <w:rFonts w:cs="Arial"/>
          <w:sz w:val="24"/>
          <w:szCs w:val="24"/>
        </w:rPr>
        <w:t xml:space="preserve"> and cardiovascular disease are suited to a population level approach. </w:t>
      </w:r>
      <w:r w:rsidRPr="7CF2CA8E" w:rsidR="00C404EC">
        <w:rPr>
          <w:rFonts w:cs="Arial"/>
          <w:sz w:val="24"/>
          <w:szCs w:val="24"/>
        </w:rPr>
        <w:t>Most</w:t>
      </w:r>
      <w:r w:rsidRPr="7CF2CA8E" w:rsidR="004D7A1E">
        <w:rPr>
          <w:rFonts w:cs="Arial"/>
          <w:sz w:val="24"/>
          <w:szCs w:val="24"/>
        </w:rPr>
        <w:t xml:space="preserve"> health determinants are associated with lifestyle, </w:t>
      </w:r>
      <w:r w:rsidRPr="7CF2CA8E" w:rsidR="004D7A1E">
        <w:rPr>
          <w:rFonts w:cs="Arial"/>
          <w:sz w:val="24"/>
          <w:szCs w:val="24"/>
        </w:rPr>
        <w:t>behaviours</w:t>
      </w:r>
      <w:r w:rsidRPr="7CF2CA8E" w:rsidR="004D7A1E">
        <w:rPr>
          <w:rFonts w:cs="Arial"/>
          <w:sz w:val="24"/>
          <w:szCs w:val="24"/>
        </w:rPr>
        <w:t xml:space="preserve">, social </w:t>
      </w:r>
      <w:r w:rsidRPr="7CF2CA8E" w:rsidR="004D7A1E">
        <w:rPr>
          <w:rFonts w:cs="Arial"/>
          <w:sz w:val="24"/>
          <w:szCs w:val="24"/>
        </w:rPr>
        <w:t>circumstances</w:t>
      </w:r>
      <w:r w:rsidRPr="7CF2CA8E" w:rsidR="004D7A1E">
        <w:rPr>
          <w:rFonts w:cs="Arial"/>
          <w:sz w:val="24"/>
          <w:szCs w:val="24"/>
        </w:rPr>
        <w:t xml:space="preserve"> and environmental exposures, yet the focus is often aimed </w:t>
      </w:r>
      <w:r w:rsidRPr="7CF2CA8E" w:rsidR="004D7A1E">
        <w:rPr>
          <w:rFonts w:cs="Arial"/>
          <w:sz w:val="24"/>
          <w:szCs w:val="24"/>
        </w:rPr>
        <w:t xml:space="preserve">solely </w:t>
      </w:r>
      <w:r w:rsidRPr="7CF2CA8E" w:rsidR="004D7A1E">
        <w:rPr>
          <w:rFonts w:cs="Arial"/>
          <w:sz w:val="24"/>
          <w:szCs w:val="24"/>
        </w:rPr>
        <w:t>at medical care.</w:t>
      </w:r>
    </w:p>
    <w:p w:rsidRPr="00B34AD4" w:rsidR="004D7A1E" w:rsidP="004D7A1E" w:rsidRDefault="004D7A1E" w14:paraId="28CED379" w14:textId="77777777"/>
    <w:p w:rsidRPr="00A541B0" w:rsidR="004D7A1E" w:rsidP="004D7A1E" w:rsidRDefault="004D7A1E" w14:paraId="2193899F" w14:textId="77777777">
      <w:pPr>
        <w:pStyle w:val="Heading2"/>
        <w:rPr>
          <w:color w:val="004689" w:themeColor="text1" w:themeShade="BF"/>
        </w:rPr>
      </w:pPr>
      <w:bookmarkStart w:name="_Toc86227201" w:id="10"/>
      <w:bookmarkStart w:name="_Toc86227526" w:id="11"/>
      <w:r w:rsidRPr="00A541B0">
        <w:rPr>
          <w:color w:val="004689" w:themeColor="text1" w:themeShade="BF"/>
        </w:rPr>
        <w:t>Defining populations</w:t>
      </w:r>
      <w:bookmarkEnd w:id="10"/>
      <w:bookmarkEnd w:id="11"/>
    </w:p>
    <w:p w:rsidRPr="00A167CB" w:rsidR="004D7A1E" w:rsidP="004D7A1E" w:rsidRDefault="004D7A1E" w14:paraId="3413693C" w14:textId="77777777">
      <w:pPr>
        <w:rPr>
          <w:rFonts w:cs="Arial"/>
        </w:rPr>
      </w:pPr>
      <w:r w:rsidRPr="00A167CB">
        <w:rPr>
          <w:rFonts w:cs="Arial"/>
        </w:rPr>
        <w:t xml:space="preserve">Populations can be defined using various parameters e.g., geographically, by medical conditions, ethnicities, disease risk factors, etc.  Individuals can belong to more than one </w:t>
      </w:r>
      <w:proofErr w:type="gramStart"/>
      <w:r w:rsidRPr="00A167CB">
        <w:rPr>
          <w:rFonts w:cs="Arial"/>
        </w:rPr>
        <w:t>population</w:t>
      </w:r>
      <w:proofErr w:type="gramEnd"/>
      <w:r w:rsidRPr="00A167CB">
        <w:rPr>
          <w:rFonts w:cs="Arial"/>
        </w:rPr>
        <w:t xml:space="preserve"> and these can be viewed through different perspectives. Population health is therefore relevant across all the health disciplines.</w:t>
      </w:r>
    </w:p>
    <w:p w:rsidRPr="00A167CB" w:rsidR="004D7A1E" w:rsidP="004D7A1E" w:rsidRDefault="004D7A1E" w14:paraId="67B8FFC8" w14:textId="77777777">
      <w:pPr>
        <w:pStyle w:val="BodyCopy"/>
        <w:rPr>
          <w:rFonts w:cs="Arial"/>
          <w:sz w:val="24"/>
          <w:szCs w:val="24"/>
        </w:rPr>
      </w:pPr>
    </w:p>
    <w:p w:rsidRPr="00A541B0" w:rsidR="004D7A1E" w:rsidP="004D7A1E" w:rsidRDefault="004D7A1E" w14:paraId="3F398575" w14:textId="77777777">
      <w:pPr>
        <w:pStyle w:val="Heading2"/>
        <w:rPr>
          <w:color w:val="004689" w:themeColor="text1" w:themeShade="BF"/>
        </w:rPr>
      </w:pPr>
      <w:bookmarkStart w:name="_Toc86227202" w:id="12"/>
      <w:bookmarkStart w:name="_Toc86227527" w:id="13"/>
      <w:r w:rsidRPr="00A541B0">
        <w:rPr>
          <w:color w:val="004689" w:themeColor="text1" w:themeShade="BF"/>
        </w:rPr>
        <w:t>Population health in action</w:t>
      </w:r>
      <w:bookmarkEnd w:id="12"/>
      <w:bookmarkEnd w:id="13"/>
    </w:p>
    <w:p w:rsidR="004D7A1E" w:rsidP="004D7A1E" w:rsidRDefault="004D7A1E" w14:paraId="1CC19F44" w14:textId="77777777">
      <w:pPr>
        <w:rPr>
          <w:rFonts w:cs="Arial"/>
        </w:rPr>
      </w:pPr>
      <w:r w:rsidRPr="00A167CB">
        <w:rPr>
          <w:rFonts w:cs="Arial"/>
        </w:rPr>
        <w:t xml:space="preserve">Kaiser Permanente, a US based healthcare organisation, analysed data from a shared electronic   </w:t>
      </w:r>
      <w:r w:rsidRPr="00B34AD4">
        <w:rPr>
          <w:rFonts w:cs="Arial"/>
        </w:rPr>
        <w:t>patient record system to establish the health needs and outcomes of different groups. Individuals were then targeted based on their membership to a particular group. For example, the heart disease programme tackled smoking cessation, exercise promotion and lifestyle modification, which contributed to a 26% reduction in cardiovascular mortality</w:t>
      </w:r>
      <w:r>
        <w:rPr>
          <w:rFonts w:cs="Arial"/>
        </w:rPr>
        <w:t xml:space="preserve"> among Kaiser Permanente members</w:t>
      </w:r>
      <w:r w:rsidRPr="00B34AD4">
        <w:rPr>
          <w:rFonts w:cs="Arial"/>
        </w:rPr>
        <w:t xml:space="preserve"> in Northern California from 1995-2004. Read more about Kaiser Permanente and</w:t>
      </w:r>
      <w:r>
        <w:rPr>
          <w:rFonts w:cs="Arial"/>
        </w:rPr>
        <w:t xml:space="preserve"> the evolution of </w:t>
      </w:r>
      <w:r w:rsidRPr="00B34AD4">
        <w:rPr>
          <w:rFonts w:cs="Arial"/>
        </w:rPr>
        <w:t>their population health services at:</w:t>
      </w:r>
    </w:p>
    <w:p w:rsidRPr="00B34AD4" w:rsidR="004D7A1E" w:rsidP="004D7A1E" w:rsidRDefault="00786E4D" w14:paraId="4B07AB4D" w14:textId="77777777">
      <w:pPr>
        <w:rPr>
          <w:rFonts w:cs="Arial"/>
        </w:rPr>
      </w:pPr>
      <w:hyperlink w:history="1" r:id="rId11">
        <w:r w:rsidRPr="005909F4" w:rsidR="004D7A1E">
          <w:rPr>
            <w:rStyle w:val="Hyperlink"/>
            <w:rFonts w:cs="Arial"/>
            <w:i/>
          </w:rPr>
          <w:t>https://www.kingsfund.org.uk/publications/population-health-systems/kaiser-permanente-united-states</w:t>
        </w:r>
      </w:hyperlink>
    </w:p>
    <w:p w:rsidR="004D7A1E" w:rsidP="004D7A1E" w:rsidRDefault="004D7A1E" w14:paraId="37B685FA" w14:textId="4D32625D">
      <w:pPr>
        <w:rPr>
          <w:rFonts w:cs="Arial"/>
        </w:rPr>
      </w:pPr>
      <w:r w:rsidRPr="00B34AD4">
        <w:rPr>
          <w:rFonts w:cs="Arial"/>
        </w:rPr>
        <w:br/>
      </w:r>
      <w:r w:rsidRPr="00B34AD4">
        <w:rPr>
          <w:rFonts w:cs="Arial"/>
        </w:rPr>
        <w:t xml:space="preserve">A GP practice in Surbiton, which has a 20% higher </w:t>
      </w:r>
      <w:r>
        <w:rPr>
          <w:rFonts w:cs="Arial"/>
        </w:rPr>
        <w:t xml:space="preserve">known </w:t>
      </w:r>
      <w:r w:rsidRPr="00B34AD4">
        <w:rPr>
          <w:rFonts w:cs="Arial"/>
        </w:rPr>
        <w:t xml:space="preserve">prevalence of diagnosed mental ill health than the national average, responded to the evidence that mental health patients often suffer from chronic physical illnesses by optimising the methods in which they conduct the Quality Outcomes Framework (QOF) physical health checks. The practice designed a new </w:t>
      </w:r>
      <w:r w:rsidRPr="00B34AD4">
        <w:rPr>
          <w:rFonts w:cs="Arial"/>
        </w:rPr>
        <w:t>programme to invite patients for physical health checks. The new system was based on patient survey responses and involved nurse consultations and extended doctor consultations. Processes were also implemented to facilitate patient attendance and information sharing with patients and their specialists. This initiative was led by a previous fellow (London population health fellowship for GP trainees) and the abstract of the project</w:t>
      </w:r>
      <w:r w:rsidR="00871BC9">
        <w:rPr>
          <w:rFonts w:cs="Arial"/>
        </w:rPr>
        <w:t xml:space="preserve"> and other examples of population health projects</w:t>
      </w:r>
      <w:r w:rsidRPr="00B34AD4">
        <w:rPr>
          <w:rFonts w:cs="Arial"/>
        </w:rPr>
        <w:t xml:space="preserve"> can be found in Appendix 2.</w:t>
      </w:r>
    </w:p>
    <w:p w:rsidRPr="004D7A1E" w:rsidR="004D7A1E" w:rsidP="004D7A1E" w:rsidRDefault="004D7A1E" w14:paraId="36EF391E" w14:textId="77777777">
      <w:pPr>
        <w:rPr>
          <w:rFonts w:cs="Arial"/>
        </w:rPr>
      </w:pPr>
    </w:p>
    <w:p w:rsidRPr="00F65702" w:rsidR="004D7A1E" w:rsidP="004D7A1E" w:rsidRDefault="004D7A1E" w14:paraId="703EAAA6" w14:textId="77777777">
      <w:pPr>
        <w:pStyle w:val="Heading2"/>
        <w:rPr>
          <w:color w:val="004689" w:themeColor="text1" w:themeShade="BF"/>
        </w:rPr>
      </w:pPr>
      <w:bookmarkStart w:name="_Toc86227203" w:id="14"/>
      <w:bookmarkStart w:name="_Toc86227528" w:id="15"/>
      <w:r w:rsidRPr="00F65702">
        <w:rPr>
          <w:color w:val="004689" w:themeColor="text1" w:themeShade="BF"/>
        </w:rPr>
        <w:t>Population health and public health</w:t>
      </w:r>
      <w:bookmarkEnd w:id="14"/>
      <w:bookmarkEnd w:id="15"/>
    </w:p>
    <w:p w:rsidRPr="00B34AD4" w:rsidR="004D7A1E" w:rsidP="004D7A1E" w:rsidRDefault="004D7A1E" w14:paraId="2F25A0EF" w14:textId="19EB5EDE">
      <w:pPr>
        <w:pStyle w:val="BodyCopy"/>
        <w:rPr>
          <w:rFonts w:cs="Arial"/>
          <w:sz w:val="24"/>
          <w:szCs w:val="24"/>
        </w:rPr>
      </w:pPr>
      <w:r w:rsidRPr="00B34AD4">
        <w:rPr>
          <w:rFonts w:cs="Arial"/>
          <w:sz w:val="24"/>
          <w:szCs w:val="24"/>
        </w:rPr>
        <w:t>Some use the term ‘population health’ interchangeably with ‘public health’.</w:t>
      </w:r>
      <w:r>
        <w:rPr>
          <w:rFonts w:cs="Arial"/>
          <w:sz w:val="24"/>
          <w:szCs w:val="24"/>
        </w:rPr>
        <w:t xml:space="preserve"> I</w:t>
      </w:r>
      <w:r w:rsidRPr="00B34AD4">
        <w:rPr>
          <w:rFonts w:cs="Arial"/>
          <w:sz w:val="24"/>
          <w:szCs w:val="24"/>
        </w:rPr>
        <w:t xml:space="preserve">n this proposal, we suggest that population health describes an approach that can be applied across all of healthcare. Increasingly evidence shows that applying </w:t>
      </w:r>
      <w:r w:rsidRPr="00B34AD4">
        <w:rPr>
          <w:rFonts w:cs="Arial"/>
          <w:color w:val="000000"/>
          <w:sz w:val="24"/>
          <w:szCs w:val="24"/>
        </w:rPr>
        <w:t>population health skills in clinical practice can prevent disease and improve patient outcomes</w:t>
      </w:r>
      <w:r w:rsidRPr="00B34AD4">
        <w:rPr>
          <w:rFonts w:cs="Arial"/>
          <w:sz w:val="24"/>
          <w:szCs w:val="24"/>
        </w:rPr>
        <w:t xml:space="preserve">. Public health is </w:t>
      </w:r>
      <w:r w:rsidR="00250D4B">
        <w:rPr>
          <w:rFonts w:cs="Arial"/>
          <w:sz w:val="24"/>
          <w:szCs w:val="24"/>
        </w:rPr>
        <w:t>a discipline</w:t>
      </w:r>
      <w:r w:rsidR="00CB3FD7">
        <w:rPr>
          <w:rFonts w:cs="Arial"/>
          <w:sz w:val="24"/>
          <w:szCs w:val="24"/>
        </w:rPr>
        <w:t xml:space="preserve"> that is</w:t>
      </w:r>
      <w:r w:rsidRPr="00B34AD4">
        <w:rPr>
          <w:rFonts w:cs="Arial"/>
          <w:sz w:val="24"/>
          <w:szCs w:val="24"/>
        </w:rPr>
        <w:t xml:space="preserve"> </w:t>
      </w:r>
      <w:r w:rsidR="00CB3FD7">
        <w:rPr>
          <w:rFonts w:cs="Arial"/>
          <w:sz w:val="24"/>
          <w:szCs w:val="24"/>
        </w:rPr>
        <w:t xml:space="preserve">focused on improving </w:t>
      </w:r>
      <w:r w:rsidRPr="00B34AD4">
        <w:rPr>
          <w:rFonts w:cs="Arial"/>
          <w:sz w:val="24"/>
          <w:szCs w:val="24"/>
        </w:rPr>
        <w:t xml:space="preserve">health and preventing disease across the whole of society, including in healthcare environments. </w:t>
      </w:r>
      <w:r w:rsidR="00C127F3">
        <w:rPr>
          <w:rFonts w:cs="Arial"/>
          <w:sz w:val="24"/>
          <w:szCs w:val="24"/>
        </w:rPr>
        <w:t>However, it</w:t>
      </w:r>
      <w:r w:rsidRPr="00B34AD4">
        <w:rPr>
          <w:rFonts w:cs="Arial"/>
          <w:sz w:val="24"/>
          <w:szCs w:val="24"/>
        </w:rPr>
        <w:t xml:space="preserve"> was never sufficient for solely public health practitioners and specialists to engage in population health</w:t>
      </w:r>
      <w:r w:rsidR="00480918">
        <w:rPr>
          <w:rFonts w:cs="Arial"/>
          <w:sz w:val="24"/>
          <w:szCs w:val="24"/>
        </w:rPr>
        <w:t xml:space="preserve"> for healthcare</w:t>
      </w:r>
      <w:r w:rsidRPr="00B34AD4">
        <w:rPr>
          <w:rFonts w:cs="Arial"/>
          <w:sz w:val="24"/>
          <w:szCs w:val="24"/>
        </w:rPr>
        <w:t xml:space="preserve">. It is now widely accepted that population health </w:t>
      </w:r>
      <w:r>
        <w:rPr>
          <w:rFonts w:cs="Arial"/>
          <w:sz w:val="24"/>
          <w:szCs w:val="24"/>
        </w:rPr>
        <w:t>competencies</w:t>
      </w:r>
      <w:r w:rsidRPr="00B34AD4">
        <w:rPr>
          <w:rFonts w:cs="Arial"/>
          <w:sz w:val="24"/>
          <w:szCs w:val="24"/>
        </w:rPr>
        <w:t xml:space="preserve"> and mindset are essential at all levels in every healthcare organisation in delivering excellent healthcare and this is at the heart of this proposal.</w:t>
      </w:r>
    </w:p>
    <w:p w:rsidRPr="00F65702" w:rsidR="004D7A1E" w:rsidP="004D7A1E" w:rsidRDefault="004D7A1E" w14:paraId="519BC9C3" w14:textId="77777777">
      <w:pPr>
        <w:pStyle w:val="Heading1"/>
        <w:rPr>
          <w:color w:val="004689" w:themeColor="text1" w:themeShade="BF"/>
        </w:rPr>
      </w:pPr>
      <w:bookmarkStart w:name="_Toc86227529" w:id="16"/>
      <w:r w:rsidRPr="00F65702">
        <w:rPr>
          <w:color w:val="004689" w:themeColor="text1" w:themeShade="BF"/>
        </w:rPr>
        <w:t>What is a population health fellowship?</w:t>
      </w:r>
      <w:bookmarkEnd w:id="16"/>
    </w:p>
    <w:p w:rsidRPr="00836157" w:rsidR="004D7A1E" w:rsidP="004D7A1E" w:rsidRDefault="004D7A1E" w14:paraId="60982EFB" w14:textId="762A8059">
      <w:pPr>
        <w:rPr>
          <w:rFonts w:cs="Arial"/>
        </w:rPr>
      </w:pPr>
      <w:r w:rsidRPr="00836157">
        <w:rPr>
          <w:rFonts w:cs="Arial"/>
        </w:rPr>
        <w:t xml:space="preserve">Successful applicants will embark on a year-long part-time fellowship, 2 days a week, alongside their </w:t>
      </w:r>
      <w:r w:rsidR="00FB4107">
        <w:rPr>
          <w:rFonts w:cs="Arial"/>
        </w:rPr>
        <w:t xml:space="preserve">substantive </w:t>
      </w:r>
      <w:r w:rsidRPr="00836157">
        <w:rPr>
          <w:rFonts w:cs="Arial"/>
        </w:rPr>
        <w:t>post</w:t>
      </w:r>
      <w:r w:rsidR="00FB4107">
        <w:rPr>
          <w:rFonts w:cs="Arial"/>
        </w:rPr>
        <w:t>s</w:t>
      </w:r>
      <w:r w:rsidRPr="00836157">
        <w:rPr>
          <w:rFonts w:cs="Arial"/>
        </w:rPr>
        <w:t xml:space="preserve">.  </w:t>
      </w:r>
      <w:r>
        <w:rPr>
          <w:rFonts w:cs="Arial"/>
        </w:rPr>
        <w:t xml:space="preserve">Fellows </w:t>
      </w:r>
      <w:r w:rsidRPr="00836157">
        <w:rPr>
          <w:rFonts w:cs="Arial"/>
        </w:rPr>
        <w:t>will be</w:t>
      </w:r>
      <w:r>
        <w:rPr>
          <w:rFonts w:cs="Arial"/>
        </w:rPr>
        <w:t xml:space="preserve"> </w:t>
      </w:r>
      <w:r w:rsidR="00774E01">
        <w:rPr>
          <w:rFonts w:cs="Arial"/>
        </w:rPr>
        <w:t>working on</w:t>
      </w:r>
      <w:r>
        <w:rPr>
          <w:rFonts w:cs="Arial"/>
        </w:rPr>
        <w:t xml:space="preserve"> a population health projec</w:t>
      </w:r>
      <w:r w:rsidR="00E1506B">
        <w:rPr>
          <w:rFonts w:cs="Arial"/>
        </w:rPr>
        <w:t>t</w:t>
      </w:r>
      <w:r>
        <w:rPr>
          <w:rFonts w:cs="Arial"/>
        </w:rPr>
        <w:t xml:space="preserve"> at a host organisation. </w:t>
      </w:r>
      <w:r w:rsidRPr="00836157">
        <w:rPr>
          <w:rFonts w:cs="Arial"/>
        </w:rPr>
        <w:t xml:space="preserve">Examples of </w:t>
      </w:r>
      <w:r>
        <w:rPr>
          <w:rFonts w:cs="Arial"/>
        </w:rPr>
        <w:t>possible host</w:t>
      </w:r>
      <w:r w:rsidRPr="00836157">
        <w:rPr>
          <w:rFonts w:cs="Arial"/>
        </w:rPr>
        <w:t xml:space="preserve"> organisations include hospital </w:t>
      </w:r>
      <w:r>
        <w:rPr>
          <w:rFonts w:cs="Arial"/>
        </w:rPr>
        <w:t>and community trusts</w:t>
      </w:r>
      <w:r w:rsidRPr="00836157">
        <w:rPr>
          <w:rFonts w:cs="Arial"/>
        </w:rPr>
        <w:t xml:space="preserve">, public health </w:t>
      </w:r>
      <w:r>
        <w:rPr>
          <w:rFonts w:cs="Arial"/>
        </w:rPr>
        <w:t>organisations</w:t>
      </w:r>
      <w:r w:rsidRPr="00836157">
        <w:rPr>
          <w:rFonts w:cs="Arial"/>
        </w:rPr>
        <w:t>, integrated care systems</w:t>
      </w:r>
      <w:r>
        <w:rPr>
          <w:rFonts w:cs="Arial"/>
        </w:rPr>
        <w:t xml:space="preserve"> and primary care networks</w:t>
      </w:r>
      <w:r w:rsidRPr="00836157">
        <w:rPr>
          <w:rFonts w:cs="Arial"/>
        </w:rPr>
        <w:t>.</w:t>
      </w:r>
      <w:r>
        <w:rPr>
          <w:rFonts w:cs="Arial"/>
        </w:rPr>
        <w:t xml:space="preserve"> </w:t>
      </w:r>
    </w:p>
    <w:p w:rsidRPr="00836157" w:rsidR="004D7A1E" w:rsidP="004D7A1E" w:rsidRDefault="004D7A1E" w14:paraId="494F37AA" w14:textId="77777777">
      <w:pPr>
        <w:rPr>
          <w:rFonts w:cs="Arial"/>
        </w:rPr>
      </w:pPr>
    </w:p>
    <w:p w:rsidR="00E1506B" w:rsidP="004D7A1E" w:rsidRDefault="004D7A1E" w14:paraId="0A8C15D6" w14:textId="047C2071">
      <w:pPr>
        <w:rPr>
          <w:rFonts w:cs="Arial"/>
        </w:rPr>
      </w:pPr>
      <w:r>
        <w:rPr>
          <w:rFonts w:cs="Arial"/>
        </w:rPr>
        <w:t>P</w:t>
      </w:r>
      <w:r w:rsidRPr="00836157">
        <w:rPr>
          <w:rFonts w:cs="Arial"/>
        </w:rPr>
        <w:t>roject su</w:t>
      </w:r>
      <w:r>
        <w:rPr>
          <w:rFonts w:cs="Arial"/>
        </w:rPr>
        <w:t xml:space="preserve">pervision and support will be provided by a named supervisor from the host organisation. </w:t>
      </w:r>
      <w:r w:rsidRPr="00836157">
        <w:rPr>
          <w:rFonts w:cs="Arial"/>
        </w:rPr>
        <w:t xml:space="preserve">The project will also be supported by a formal </w:t>
      </w:r>
      <w:r w:rsidR="007B0809">
        <w:rPr>
          <w:rFonts w:cs="Arial"/>
        </w:rPr>
        <w:t xml:space="preserve">taught </w:t>
      </w:r>
      <w:r>
        <w:rPr>
          <w:rFonts w:cs="Arial"/>
        </w:rPr>
        <w:t xml:space="preserve">blended </w:t>
      </w:r>
      <w:r w:rsidRPr="00836157">
        <w:rPr>
          <w:rFonts w:cs="Arial"/>
        </w:rPr>
        <w:t>educational programm</w:t>
      </w:r>
      <w:r>
        <w:rPr>
          <w:rFonts w:cs="Arial"/>
        </w:rPr>
        <w:t>e, which will</w:t>
      </w:r>
      <w:r w:rsidR="006A52AF">
        <w:rPr>
          <w:rFonts w:cs="Arial"/>
        </w:rPr>
        <w:t xml:space="preserve"> be delivered via a series of virtual contact days</w:t>
      </w:r>
      <w:r>
        <w:rPr>
          <w:rFonts w:cs="Arial"/>
        </w:rPr>
        <w:t xml:space="preserve">. </w:t>
      </w:r>
      <w:r w:rsidRPr="00836157">
        <w:rPr>
          <w:rFonts w:cs="Arial"/>
        </w:rPr>
        <w:t xml:space="preserve">See Appendix 2 for examples of population health projects. </w:t>
      </w:r>
    </w:p>
    <w:p w:rsidR="00E1506B" w:rsidP="004D7A1E" w:rsidRDefault="00E1506B" w14:paraId="7E05E4A9" w14:textId="77777777">
      <w:pPr>
        <w:rPr>
          <w:rFonts w:cs="Arial"/>
        </w:rPr>
      </w:pPr>
    </w:p>
    <w:p w:rsidR="004D7A1E" w:rsidP="004D7A1E" w:rsidRDefault="00E1506B" w14:paraId="582C4995" w14:textId="0A6A6382">
      <w:pPr>
        <w:rPr>
          <w:rFonts w:cs="Arial"/>
        </w:rPr>
      </w:pPr>
      <w:r>
        <w:rPr>
          <w:rFonts w:cs="Arial"/>
        </w:rPr>
        <w:t xml:space="preserve">There will be a focus on health inequalities through the project experience and blended educational programme. </w:t>
      </w:r>
      <w:r w:rsidR="004D7A1E">
        <w:rPr>
          <w:rFonts w:cs="Arial"/>
        </w:rPr>
        <w:t>Fellows will sign a learning agreement</w:t>
      </w:r>
      <w:r>
        <w:rPr>
          <w:rFonts w:cs="Arial"/>
        </w:rPr>
        <w:t xml:space="preserve"> to familiarise themselves with their responsibilities and learning objectives</w:t>
      </w:r>
      <w:r w:rsidR="004D7A1E">
        <w:rPr>
          <w:rFonts w:cs="Arial"/>
        </w:rPr>
        <w:t xml:space="preserve">. </w:t>
      </w:r>
      <w:r w:rsidRPr="002B0384" w:rsidR="002B0384">
        <w:rPr>
          <w:rFonts w:cs="Arial"/>
        </w:rPr>
        <w:t xml:space="preserve">Currently </w:t>
      </w:r>
      <w:r w:rsidRPr="001C209F" w:rsidR="002B0384">
        <w:rPr>
          <w:rFonts w:cs="Arial"/>
        </w:rPr>
        <w:t>t</w:t>
      </w:r>
      <w:r w:rsidRPr="001C209F" w:rsidR="004D7A1E">
        <w:rPr>
          <w:rFonts w:cs="Arial"/>
        </w:rPr>
        <w:t xml:space="preserve">he approach to the assessment of the learning outcomes is formative (via </w:t>
      </w:r>
      <w:r w:rsidR="00F900E2">
        <w:rPr>
          <w:rFonts w:cs="Arial"/>
        </w:rPr>
        <w:t xml:space="preserve">a </w:t>
      </w:r>
      <w:r w:rsidRPr="001C209F" w:rsidR="004D7A1E">
        <w:rPr>
          <w:rFonts w:cs="Arial"/>
        </w:rPr>
        <w:t xml:space="preserve">reflective learning </w:t>
      </w:r>
      <w:r w:rsidR="00F900E2">
        <w:rPr>
          <w:rFonts w:cs="Arial"/>
        </w:rPr>
        <w:t>journal</w:t>
      </w:r>
      <w:r w:rsidRPr="001C209F" w:rsidR="004D7A1E">
        <w:rPr>
          <w:rFonts w:cs="Arial"/>
        </w:rPr>
        <w:t xml:space="preserve"> and presentations). </w:t>
      </w:r>
      <w:r w:rsidR="004D7A1E">
        <w:rPr>
          <w:rFonts w:cs="Arial"/>
        </w:rPr>
        <w:t xml:space="preserve">After successful completion of the programme, fellows will have developed the core competencies of population health. </w:t>
      </w:r>
      <w:r w:rsidRPr="00836157" w:rsidR="004D7A1E">
        <w:rPr>
          <w:rFonts w:cs="Arial"/>
        </w:rPr>
        <w:t>In addition to population health competencies there i</w:t>
      </w:r>
      <w:r w:rsidR="00F900E2">
        <w:rPr>
          <w:rFonts w:cs="Arial"/>
        </w:rPr>
        <w:t>s</w:t>
      </w:r>
      <w:r w:rsidRPr="00836157" w:rsidR="004D7A1E">
        <w:rPr>
          <w:rFonts w:cs="Arial"/>
        </w:rPr>
        <w:t xml:space="preserve"> a strong focus on leadership development. </w:t>
      </w:r>
    </w:p>
    <w:p w:rsidR="004D7A1E" w:rsidP="004D7A1E" w:rsidRDefault="004D7A1E" w14:paraId="360FD0DE" w14:textId="77777777">
      <w:pPr>
        <w:jc w:val="both"/>
        <w:rPr>
          <w:rFonts w:cs="Arial"/>
        </w:rPr>
      </w:pPr>
    </w:p>
    <w:p w:rsidRPr="00694170" w:rsidR="004D7A1E" w:rsidP="004D7A1E" w:rsidRDefault="004D7A1E" w14:paraId="17CC922B" w14:textId="77777777">
      <w:pPr>
        <w:pStyle w:val="Heading2"/>
        <w:rPr>
          <w:color w:val="004689" w:themeColor="text1" w:themeShade="BF"/>
        </w:rPr>
      </w:pPr>
      <w:bookmarkStart w:name="_Toc86227530" w:id="17"/>
      <w:r w:rsidRPr="00694170">
        <w:rPr>
          <w:color w:val="004689" w:themeColor="text1" w:themeShade="BF"/>
        </w:rPr>
        <w:t>The value of a population health fellowship</w:t>
      </w:r>
      <w:bookmarkEnd w:id="17"/>
    </w:p>
    <w:p w:rsidRPr="00836157" w:rsidR="004D7A1E" w:rsidP="004D7A1E" w:rsidRDefault="004D7A1E" w14:paraId="1E1033F8" w14:textId="790542B5">
      <w:pPr>
        <w:rPr>
          <w:rFonts w:cs="Arial"/>
        </w:rPr>
      </w:pPr>
      <w:r w:rsidRPr="00836157">
        <w:rPr>
          <w:rFonts w:cs="Arial"/>
        </w:rPr>
        <w:t xml:space="preserve">The programme provides an infrastructure to train future population health practitioners. We aim to recruit </w:t>
      </w:r>
      <w:r w:rsidR="00774E01">
        <w:rPr>
          <w:rFonts w:cs="Arial"/>
        </w:rPr>
        <w:t>professionals</w:t>
      </w:r>
      <w:r w:rsidRPr="00836157">
        <w:rPr>
          <w:rFonts w:cs="Arial"/>
        </w:rPr>
        <w:t xml:space="preserve"> with outstanding potential and develop them into a faculty capable of incorporating population health in their local work systems and</w:t>
      </w:r>
      <w:r>
        <w:rPr>
          <w:rFonts w:cs="Arial"/>
        </w:rPr>
        <w:t xml:space="preserve"> thereby</w:t>
      </w:r>
      <w:r w:rsidRPr="00836157">
        <w:rPr>
          <w:rFonts w:cs="Arial"/>
        </w:rPr>
        <w:t xml:space="preserve"> improve patient outcomes. As the programme develops there will be an ever-growing group of population health practitioners from </w:t>
      </w:r>
      <w:r>
        <w:rPr>
          <w:rFonts w:cs="Arial"/>
        </w:rPr>
        <w:t>various</w:t>
      </w:r>
      <w:r w:rsidRPr="00836157">
        <w:rPr>
          <w:rFonts w:cs="Arial"/>
        </w:rPr>
        <w:t xml:space="preserve"> </w:t>
      </w:r>
      <w:r>
        <w:rPr>
          <w:rFonts w:cs="Arial"/>
        </w:rPr>
        <w:t>professions</w:t>
      </w:r>
      <w:r w:rsidRPr="00836157">
        <w:rPr>
          <w:rFonts w:cs="Arial"/>
        </w:rPr>
        <w:t xml:space="preserve">. Population health skills are highly sought </w:t>
      </w:r>
      <w:r w:rsidRPr="00836157" w:rsidR="00F33EE5">
        <w:rPr>
          <w:rFonts w:cs="Arial"/>
        </w:rPr>
        <w:t>after,</w:t>
      </w:r>
      <w:r w:rsidRPr="00836157">
        <w:rPr>
          <w:rFonts w:cs="Arial"/>
        </w:rPr>
        <w:t xml:space="preserve"> and </w:t>
      </w:r>
      <w:r w:rsidR="00F33EE5">
        <w:rPr>
          <w:rFonts w:cs="Arial"/>
        </w:rPr>
        <w:t>several members of the alumni have progressed to leadership roles in local and national organisations.</w:t>
      </w:r>
      <w:r w:rsidRPr="00836157">
        <w:rPr>
          <w:rFonts w:cs="Arial"/>
        </w:rPr>
        <w:t xml:space="preserve"> </w:t>
      </w:r>
    </w:p>
    <w:p w:rsidR="004D7A1E" w:rsidP="004D7A1E" w:rsidRDefault="004D7A1E" w14:paraId="6EA67B58" w14:textId="77777777">
      <w:pPr>
        <w:pStyle w:val="Heading2"/>
        <w:spacing w:after="0" w:afterAutospacing="0"/>
        <w:rPr>
          <w:rFonts w:cs="Arial"/>
        </w:rPr>
      </w:pPr>
    </w:p>
    <w:p w:rsidRPr="00B46EFF" w:rsidR="004D7A1E" w:rsidP="004D7A1E" w:rsidRDefault="004D7A1E" w14:paraId="65450C6B" w14:textId="126F0D37">
      <w:pPr>
        <w:pStyle w:val="Heading2"/>
        <w:rPr>
          <w:color w:val="004689" w:themeColor="text1" w:themeShade="BF"/>
        </w:rPr>
      </w:pPr>
      <w:bookmarkStart w:name="_Toc86227531" w:id="18"/>
      <w:r w:rsidRPr="00B46EFF">
        <w:rPr>
          <w:color w:val="004689" w:themeColor="text1" w:themeShade="BF"/>
        </w:rPr>
        <w:t>Application cycle and number of posts</w:t>
      </w:r>
      <w:bookmarkEnd w:id="18"/>
    </w:p>
    <w:p w:rsidR="004D7A1E" w:rsidP="004D7A1E" w:rsidRDefault="004D7A1E" w14:paraId="24FA3FD6" w14:textId="5DF854F5">
      <w:pPr>
        <w:rPr>
          <w:rFonts w:cs="Arial"/>
        </w:rPr>
      </w:pPr>
      <w:r w:rsidRPr="56CBDA91">
        <w:rPr>
          <w:rFonts w:cs="Arial"/>
        </w:rPr>
        <w:t>There ar</w:t>
      </w:r>
      <w:r w:rsidR="00824214">
        <w:rPr>
          <w:rFonts w:cs="Arial"/>
        </w:rPr>
        <w:t xml:space="preserve">e seven Fellowships available across the </w:t>
      </w:r>
      <w:proofErr w:type="gramStart"/>
      <w:r w:rsidR="00824214">
        <w:rPr>
          <w:rFonts w:cs="Arial"/>
        </w:rPr>
        <w:t>South West</w:t>
      </w:r>
      <w:proofErr w:type="gramEnd"/>
      <w:r w:rsidR="00824214">
        <w:rPr>
          <w:rFonts w:cs="Arial"/>
        </w:rPr>
        <w:t xml:space="preserve"> region</w:t>
      </w:r>
      <w:r w:rsidRPr="56CBDA91">
        <w:rPr>
          <w:rFonts w:cs="Arial"/>
        </w:rPr>
        <w:t>. Prospective applicants will be expected to continue in their substantive post</w:t>
      </w:r>
      <w:r w:rsidR="00A75574">
        <w:rPr>
          <w:rFonts w:cs="Arial"/>
        </w:rPr>
        <w:t>s</w:t>
      </w:r>
      <w:r w:rsidRPr="56CBDA91">
        <w:rPr>
          <w:rFonts w:cs="Arial"/>
        </w:rPr>
        <w:t xml:space="preserve"> alongside this part-time fellowship. </w:t>
      </w:r>
    </w:p>
    <w:p w:rsidR="004D7A1E" w:rsidP="004D7A1E" w:rsidRDefault="004D7A1E" w14:paraId="79895831" w14:textId="77777777">
      <w:pPr>
        <w:rPr>
          <w:rFonts w:cs="Arial"/>
        </w:rPr>
      </w:pPr>
    </w:p>
    <w:p w:rsidR="00F678B6" w:rsidP="004D7A1E" w:rsidRDefault="004D7A1E" w14:paraId="0CAD3C86" w14:textId="51BC95D1">
      <w:pPr>
        <w:rPr>
          <w:rFonts w:cs="Arial"/>
        </w:rPr>
      </w:pPr>
      <w:r w:rsidRPr="7CF2CA8E" w:rsidR="004D7A1E">
        <w:rPr>
          <w:rFonts w:cs="Arial"/>
        </w:rPr>
        <w:t xml:space="preserve">The year-long fellowship is planned to start </w:t>
      </w:r>
      <w:r w:rsidRPr="7CF2CA8E" w:rsidR="00F678B6">
        <w:rPr>
          <w:rFonts w:cs="Arial"/>
        </w:rPr>
        <w:t xml:space="preserve">on </w:t>
      </w:r>
      <w:r w:rsidRPr="7CF2CA8E" w:rsidR="79A87A61">
        <w:rPr>
          <w:rFonts w:cs="Arial"/>
        </w:rPr>
        <w:t xml:space="preserve">Wednesday </w:t>
      </w:r>
      <w:r w:rsidRPr="7CF2CA8E" w:rsidR="00B46EFF">
        <w:rPr>
          <w:rFonts w:cs="Arial"/>
        </w:rPr>
        <w:t>1</w:t>
      </w:r>
      <w:r w:rsidRPr="7CF2CA8E" w:rsidR="00B46EFF">
        <w:rPr>
          <w:rFonts w:cs="Arial"/>
          <w:vertAlign w:val="superscript"/>
        </w:rPr>
        <w:t>st</w:t>
      </w:r>
      <w:r w:rsidRPr="7CF2CA8E" w:rsidR="00B46EFF">
        <w:rPr>
          <w:rFonts w:cs="Arial"/>
        </w:rPr>
        <w:t xml:space="preserve"> October 202</w:t>
      </w:r>
      <w:r w:rsidRPr="7CF2CA8E" w:rsidR="0B882E1D">
        <w:rPr>
          <w:rFonts w:cs="Arial"/>
        </w:rPr>
        <w:t>5</w:t>
      </w:r>
      <w:r w:rsidRPr="7CF2CA8E" w:rsidR="00B46EFF">
        <w:rPr>
          <w:rFonts w:cs="Arial"/>
        </w:rPr>
        <w:t>.</w:t>
      </w:r>
    </w:p>
    <w:p w:rsidRPr="00836157" w:rsidR="004D7A1E" w:rsidP="004D7A1E" w:rsidRDefault="004D7A1E" w14:paraId="250959E5" w14:textId="2BAFA72D">
      <w:pPr>
        <w:rPr>
          <w:rFonts w:cs="Arial"/>
        </w:rPr>
      </w:pPr>
      <w:r w:rsidRPr="00836157">
        <w:rPr>
          <w:rFonts w:cs="Arial"/>
        </w:rPr>
        <w:t xml:space="preserve"> </w:t>
      </w:r>
    </w:p>
    <w:p w:rsidRPr="00836157" w:rsidR="004D7A1E" w:rsidP="004D7A1E" w:rsidRDefault="004D7A1E" w14:paraId="72CA7709" w14:textId="77777777">
      <w:pPr>
        <w:rPr>
          <w:rFonts w:cs="Arial"/>
        </w:rPr>
      </w:pPr>
    </w:p>
    <w:p w:rsidRPr="00B46EFF" w:rsidR="004D7A1E" w:rsidP="004D7A1E" w:rsidRDefault="004D7A1E" w14:paraId="5C459419" w14:textId="77777777">
      <w:pPr>
        <w:pStyle w:val="Heading2"/>
        <w:rPr>
          <w:color w:val="004689" w:themeColor="text1" w:themeShade="BF"/>
        </w:rPr>
      </w:pPr>
      <w:bookmarkStart w:name="_Toc86227532" w:id="19"/>
      <w:r w:rsidRPr="00B46EFF">
        <w:rPr>
          <w:color w:val="004689" w:themeColor="text1" w:themeShade="BF"/>
        </w:rPr>
        <w:t>Eligibility</w:t>
      </w:r>
      <w:bookmarkEnd w:id="19"/>
    </w:p>
    <w:p w:rsidRPr="004E7F9B" w:rsidR="004D7A1E" w:rsidP="00E36B82" w:rsidRDefault="004D7A1E" w14:paraId="744F586C" w14:textId="613044C8">
      <w:pPr>
        <w:rPr>
          <w:rFonts w:cs="Arial"/>
        </w:rPr>
      </w:pPr>
      <w:r w:rsidRPr="56CBDA91">
        <w:rPr>
          <w:rFonts w:cs="Arial"/>
        </w:rPr>
        <w:t>The aim is to support early to mid-career health</w:t>
      </w:r>
      <w:r w:rsidR="00087720">
        <w:rPr>
          <w:rFonts w:cs="Arial"/>
        </w:rPr>
        <w:t xml:space="preserve"> and </w:t>
      </w:r>
      <w:r w:rsidRPr="56CBDA91">
        <w:rPr>
          <w:rFonts w:cs="Arial"/>
        </w:rPr>
        <w:t xml:space="preserve">care professionals from diverse career paths. </w:t>
      </w:r>
      <w:r w:rsidR="00964035">
        <w:rPr>
          <w:rFonts w:cs="Arial"/>
        </w:rPr>
        <w:t>T</w:t>
      </w:r>
      <w:r w:rsidRPr="56CBDA91" w:rsidR="00030D4C">
        <w:rPr>
          <w:rFonts w:cs="Arial"/>
        </w:rPr>
        <w:t>he</w:t>
      </w:r>
      <w:r w:rsidRPr="56CBDA91">
        <w:rPr>
          <w:rFonts w:cs="Arial"/>
        </w:rPr>
        <w:t xml:space="preserve"> fellowship is open to fully registered</w:t>
      </w:r>
      <w:r w:rsidRPr="56CBDA91" w:rsidR="00030D4C">
        <w:rPr>
          <w:rFonts w:cs="Arial"/>
        </w:rPr>
        <w:t xml:space="preserve"> clinic</w:t>
      </w:r>
      <w:r w:rsidR="00D231EC">
        <w:rPr>
          <w:rFonts w:cs="Arial"/>
        </w:rPr>
        <w:t>ians</w:t>
      </w:r>
      <w:r w:rsidRPr="56CBDA91">
        <w:rPr>
          <w:rFonts w:cs="Arial"/>
        </w:rPr>
        <w:t xml:space="preserve"> providing NHS services</w:t>
      </w:r>
      <w:r w:rsidR="00862A90">
        <w:rPr>
          <w:rFonts w:cs="Arial"/>
        </w:rPr>
        <w:t xml:space="preserve"> and individuals </w:t>
      </w:r>
      <w:r w:rsidR="00827ED7">
        <w:rPr>
          <w:rFonts w:cs="Arial"/>
        </w:rPr>
        <w:t>from the</w:t>
      </w:r>
      <w:r w:rsidR="00636D6C">
        <w:rPr>
          <w:rFonts w:cs="Arial"/>
        </w:rPr>
        <w:t xml:space="preserve"> wider workforce who </w:t>
      </w:r>
      <w:r w:rsidR="00A103FA">
        <w:rPr>
          <w:rFonts w:cs="Arial"/>
        </w:rPr>
        <w:t xml:space="preserve">are providing NHS </w:t>
      </w:r>
      <w:r w:rsidR="00E36B82">
        <w:rPr>
          <w:rFonts w:cs="Arial"/>
        </w:rPr>
        <w:t>or public sector services which are relevant to population health.</w:t>
      </w:r>
      <w:r w:rsidRPr="56CBDA91" w:rsidR="004E7F9B">
        <w:rPr>
          <w:rFonts w:cs="Arial"/>
        </w:rPr>
        <w:t xml:space="preserve"> </w:t>
      </w:r>
      <w:r w:rsidRPr="56CBDA91" w:rsidR="00350C7A">
        <w:rPr>
          <w:rFonts w:cs="Arial"/>
        </w:rPr>
        <w:t xml:space="preserve">  </w:t>
      </w:r>
      <w:r w:rsidRPr="56CBDA91" w:rsidR="00030D4C">
        <w:rPr>
          <w:rFonts w:cs="Arial"/>
        </w:rPr>
        <w:t xml:space="preserve"> </w:t>
      </w:r>
      <w:r w:rsidRPr="56CBDA91">
        <w:rPr>
          <w:rFonts w:cs="Arial"/>
        </w:rPr>
        <w:t xml:space="preserve"> </w:t>
      </w:r>
    </w:p>
    <w:p w:rsidRPr="00463513" w:rsidR="004D7A1E" w:rsidP="004D7A1E" w:rsidRDefault="004D7A1E" w14:paraId="2300232B" w14:textId="77777777"/>
    <w:p w:rsidRPr="00463513" w:rsidR="004D7A1E" w:rsidP="004D7A1E" w:rsidRDefault="004D7A1E" w14:paraId="5751ECE1" w14:textId="77777777"/>
    <w:p w:rsidRPr="00463513" w:rsidR="004D7A1E" w:rsidP="004D7A1E" w:rsidRDefault="004D7A1E" w14:paraId="7CF95FC8" w14:textId="77777777"/>
    <w:p w:rsidRPr="00463513" w:rsidR="004D7A1E" w:rsidP="004D7A1E" w:rsidRDefault="004D7A1E" w14:paraId="05DC7904" w14:textId="77777777"/>
    <w:p w:rsidRPr="00463513" w:rsidR="004D7A1E" w:rsidP="004D7A1E" w:rsidRDefault="004D7A1E" w14:paraId="761B3D94" w14:textId="77777777"/>
    <w:p w:rsidR="004D7A1E" w:rsidP="004D7A1E" w:rsidRDefault="004D7A1E" w14:paraId="0E1660A3" w14:textId="77777777">
      <w:pPr>
        <w:tabs>
          <w:tab w:val="left" w:pos="5940"/>
        </w:tabs>
      </w:pPr>
      <w:r>
        <w:tab/>
      </w:r>
    </w:p>
    <w:p w:rsidRPr="00463513" w:rsidR="004D7A1E" w:rsidP="004D7A1E" w:rsidRDefault="004D7A1E" w14:paraId="0B860916" w14:textId="77777777">
      <w:pPr>
        <w:tabs>
          <w:tab w:val="left" w:pos="5940"/>
        </w:tabs>
        <w:sectPr w:rsidRPr="00463513" w:rsidR="004D7A1E" w:rsidSect="004D7A1E">
          <w:headerReference w:type="default" r:id="rId12"/>
          <w:footerReference w:type="even" r:id="rId13"/>
          <w:footerReference w:type="default" r:id="rId14"/>
          <w:headerReference w:type="first" r:id="rId15"/>
          <w:footerReference w:type="first" r:id="rId16"/>
          <w:type w:val="continuous"/>
          <w:pgSz w:w="11900" w:h="16840" w:orient="portrait"/>
          <w:pgMar w:top="1134" w:right="851" w:bottom="1134" w:left="851" w:header="567" w:footer="567" w:gutter="0"/>
          <w:cols w:space="708"/>
          <w:titlePg/>
          <w:docGrid w:linePitch="360"/>
        </w:sectPr>
      </w:pPr>
      <w:r>
        <w:tab/>
      </w:r>
    </w:p>
    <w:p w:rsidRPr="00B46EFF" w:rsidR="004D7A1E" w:rsidP="004D7A1E" w:rsidRDefault="004D7A1E" w14:paraId="3017497D" w14:textId="6997DEDE">
      <w:pPr>
        <w:pStyle w:val="Heading1"/>
        <w:rPr>
          <w:color w:val="004689" w:themeColor="text1" w:themeShade="BF"/>
        </w:rPr>
      </w:pPr>
      <w:bookmarkStart w:name="_Toc86227533" w:id="20"/>
      <w:r w:rsidRPr="00B46EFF">
        <w:rPr>
          <w:color w:val="004689" w:themeColor="text1" w:themeShade="BF"/>
        </w:rPr>
        <w:t xml:space="preserve">Appendix 1: </w:t>
      </w:r>
      <w:bookmarkEnd w:id="20"/>
      <w:r w:rsidRPr="00B46EFF" w:rsidR="00964035">
        <w:rPr>
          <w:color w:val="004689" w:themeColor="text1" w:themeShade="BF"/>
        </w:rPr>
        <w:t>Eligibility Criteria</w:t>
      </w:r>
    </w:p>
    <w:p w:rsidR="004D7A1E" w:rsidP="003939C8" w:rsidRDefault="004D7A1E" w14:paraId="0F9B9DC5" w14:textId="41F950DB">
      <w:pPr>
        <w:spacing w:before="240"/>
        <w:rPr>
          <w:rFonts w:cs="Arial"/>
        </w:rPr>
      </w:pPr>
      <w:r w:rsidRPr="00A167CB">
        <w:rPr>
          <w:rFonts w:cs="Arial"/>
        </w:rPr>
        <w:t xml:space="preserve">Applicants will be judged against these criteria relative to their level of experience. </w:t>
      </w:r>
      <w:r w:rsidR="005A5ECE">
        <w:rPr>
          <w:rFonts w:cs="Arial"/>
        </w:rPr>
        <w:t>In addition to the app</w:t>
      </w:r>
      <w:r w:rsidR="000639EC">
        <w:rPr>
          <w:rFonts w:cs="Arial"/>
        </w:rPr>
        <w:t>lication requirements</w:t>
      </w:r>
      <w:r w:rsidR="00A544AA">
        <w:rPr>
          <w:rFonts w:cs="Arial"/>
        </w:rPr>
        <w:t>,</w:t>
      </w:r>
      <w:r w:rsidR="000639EC">
        <w:rPr>
          <w:rFonts w:cs="Arial"/>
        </w:rPr>
        <w:t xml:space="preserve"> a</w:t>
      </w:r>
      <w:r w:rsidRPr="00A167CB">
        <w:rPr>
          <w:rFonts w:cs="Arial"/>
        </w:rPr>
        <w:t>pplicants can</w:t>
      </w:r>
      <w:r w:rsidR="000639EC">
        <w:rPr>
          <w:rFonts w:cs="Arial"/>
        </w:rPr>
        <w:t xml:space="preserve"> also</w:t>
      </w:r>
      <w:r w:rsidRPr="00A167CB">
        <w:rPr>
          <w:rFonts w:cs="Arial"/>
        </w:rPr>
        <w:t xml:space="preserve"> demonstrate achievements through certificates, publications, letters, and other supporting information.</w:t>
      </w:r>
    </w:p>
    <w:tbl>
      <w:tblPr>
        <w:tblStyle w:val="TableGrid"/>
        <w:tblW w:w="15304" w:type="dxa"/>
        <w:tblLook w:val="04A0" w:firstRow="1" w:lastRow="0" w:firstColumn="1" w:lastColumn="0" w:noHBand="0" w:noVBand="1"/>
      </w:tblPr>
      <w:tblGrid>
        <w:gridCol w:w="1778"/>
        <w:gridCol w:w="4141"/>
        <w:gridCol w:w="4566"/>
        <w:gridCol w:w="4819"/>
      </w:tblGrid>
      <w:tr w:rsidRPr="00005B7A" w:rsidR="00DB1FC9" w:rsidTr="00DA51F6" w14:paraId="06A01D83" w14:textId="77777777">
        <w:tc>
          <w:tcPr>
            <w:tcW w:w="1778" w:type="dxa"/>
            <w:vAlign w:val="center"/>
          </w:tcPr>
          <w:p w:rsidRPr="00005B7A" w:rsidR="00DB1FC9" w:rsidP="00DA51F6" w:rsidRDefault="00DB1FC9" w14:paraId="4A8789AB" w14:textId="77777777">
            <w:pPr>
              <w:rPr>
                <w:rFonts w:cs="Arial"/>
              </w:rPr>
            </w:pPr>
          </w:p>
        </w:tc>
        <w:tc>
          <w:tcPr>
            <w:tcW w:w="8707" w:type="dxa"/>
            <w:gridSpan w:val="2"/>
          </w:tcPr>
          <w:p w:rsidRPr="00005B7A" w:rsidR="00DB1FC9" w:rsidP="00DA51F6" w:rsidRDefault="00DB1FC9" w14:paraId="4CB940AF" w14:textId="77777777">
            <w:pPr>
              <w:jc w:val="center"/>
              <w:rPr>
                <w:rFonts w:cs="Arial"/>
                <w:b/>
                <w:bCs/>
              </w:rPr>
            </w:pPr>
            <w:r w:rsidRPr="00005B7A">
              <w:rPr>
                <w:rFonts w:cs="Arial"/>
                <w:b/>
                <w:bCs/>
              </w:rPr>
              <w:t>Essential</w:t>
            </w:r>
          </w:p>
        </w:tc>
        <w:tc>
          <w:tcPr>
            <w:tcW w:w="4819" w:type="dxa"/>
          </w:tcPr>
          <w:p w:rsidRPr="00005B7A" w:rsidR="00DB1FC9" w:rsidP="00DA51F6" w:rsidRDefault="00DB1FC9" w14:paraId="79F35210" w14:textId="77777777">
            <w:pPr>
              <w:jc w:val="center"/>
              <w:rPr>
                <w:rFonts w:cs="Arial"/>
                <w:b/>
                <w:bCs/>
              </w:rPr>
            </w:pPr>
            <w:r w:rsidRPr="00005B7A">
              <w:rPr>
                <w:rFonts w:cs="Arial"/>
                <w:b/>
                <w:bCs/>
              </w:rPr>
              <w:t>Desirable</w:t>
            </w:r>
          </w:p>
        </w:tc>
      </w:tr>
      <w:tr w:rsidRPr="00005B7A" w:rsidR="00DB1FC9" w:rsidTr="00DA51F6" w14:paraId="37AD0F88" w14:textId="77777777">
        <w:tc>
          <w:tcPr>
            <w:tcW w:w="1778" w:type="dxa"/>
            <w:vAlign w:val="center"/>
          </w:tcPr>
          <w:p w:rsidRPr="00005B7A" w:rsidR="00DB1FC9" w:rsidP="00DA51F6" w:rsidRDefault="00DB1FC9" w14:paraId="4798DB11" w14:textId="77777777">
            <w:pPr>
              <w:rPr>
                <w:rFonts w:cs="Arial"/>
              </w:rPr>
            </w:pPr>
            <w:r w:rsidRPr="00005B7A">
              <w:rPr>
                <w:rFonts w:cs="Arial"/>
              </w:rPr>
              <w:t>Academic</w:t>
            </w:r>
          </w:p>
        </w:tc>
        <w:tc>
          <w:tcPr>
            <w:tcW w:w="8707" w:type="dxa"/>
            <w:gridSpan w:val="2"/>
          </w:tcPr>
          <w:p w:rsidRPr="00005B7A" w:rsidR="00DB1FC9" w:rsidP="00DA51F6" w:rsidRDefault="00DB1FC9" w14:paraId="4E190905" w14:textId="77777777">
            <w:pPr>
              <w:rPr>
                <w:rFonts w:cs="Arial"/>
              </w:rPr>
            </w:pPr>
            <w:r w:rsidRPr="00005B7A">
              <w:rPr>
                <w:rFonts w:cs="Arial"/>
              </w:rPr>
              <w:t>Bachelor’s degree 2.</w:t>
            </w:r>
            <w:r w:rsidRPr="26F21BA9">
              <w:rPr>
                <w:rFonts w:cs="Arial"/>
              </w:rPr>
              <w:t>1</w:t>
            </w:r>
            <w:r w:rsidRPr="00005B7A">
              <w:rPr>
                <w:rFonts w:cs="Arial"/>
              </w:rPr>
              <w:t xml:space="preserve"> and above (equivalent qualification)</w:t>
            </w:r>
          </w:p>
          <w:p w:rsidRPr="00005B7A" w:rsidR="00DB1FC9" w:rsidP="00DA51F6" w:rsidRDefault="00DB1FC9" w14:paraId="317BE999" w14:textId="77777777">
            <w:r w:rsidRPr="00005B7A">
              <w:rPr>
                <w:rFonts w:cs="Arial"/>
              </w:rPr>
              <w:t>Evidence of demonstrable interest in scientific research and evidence-based practice</w:t>
            </w:r>
            <w:r w:rsidRPr="00005B7A">
              <w:t xml:space="preserve"> </w:t>
            </w:r>
          </w:p>
          <w:p w:rsidRPr="00005B7A" w:rsidR="00DB1FC9" w:rsidP="00DA51F6" w:rsidRDefault="00DB1FC9" w14:paraId="79BD51D1" w14:textId="77777777">
            <w:r w:rsidRPr="00005B7A">
              <w:t xml:space="preserve">Evidence of continuing professional development </w:t>
            </w:r>
          </w:p>
          <w:p w:rsidRPr="00005B7A" w:rsidR="00DB1FC9" w:rsidP="00DA51F6" w:rsidRDefault="00DB1FC9" w14:paraId="6EF8CAD0" w14:textId="77777777">
            <w:pPr>
              <w:rPr>
                <w:rFonts w:cs="Arial"/>
              </w:rPr>
            </w:pPr>
          </w:p>
        </w:tc>
        <w:tc>
          <w:tcPr>
            <w:tcW w:w="4819" w:type="dxa"/>
          </w:tcPr>
          <w:p w:rsidRPr="00005B7A" w:rsidR="00DB1FC9" w:rsidP="00DA51F6" w:rsidRDefault="00DB1FC9" w14:paraId="5989928F" w14:textId="77777777">
            <w:pPr>
              <w:rPr>
                <w:rFonts w:cs="Arial"/>
              </w:rPr>
            </w:pPr>
            <w:r w:rsidRPr="00005B7A">
              <w:rPr>
                <w:rFonts w:cs="Arial"/>
              </w:rPr>
              <w:t>Additional qualifications (e.g., degrees and postgraduate qualifications)</w:t>
            </w:r>
          </w:p>
          <w:p w:rsidRPr="00005B7A" w:rsidR="00DB1FC9" w:rsidP="00DA51F6" w:rsidRDefault="00DB1FC9" w14:paraId="0DC861AD" w14:textId="77777777">
            <w:pPr>
              <w:rPr>
                <w:rFonts w:cs="Arial"/>
              </w:rPr>
            </w:pPr>
            <w:r w:rsidRPr="00005B7A">
              <w:rPr>
                <w:rFonts w:cs="Arial"/>
              </w:rPr>
              <w:t>Conference participation and/or presentations</w:t>
            </w:r>
          </w:p>
          <w:p w:rsidRPr="00005B7A" w:rsidR="00DB1FC9" w:rsidP="00DA51F6" w:rsidRDefault="00DB1FC9" w14:paraId="5B57E8A3" w14:textId="77777777">
            <w:pPr>
              <w:rPr>
                <w:rFonts w:cs="Arial"/>
              </w:rPr>
            </w:pPr>
            <w:r w:rsidRPr="00005B7A">
              <w:rPr>
                <w:rFonts w:eastAsia="Times New Roman" w:cs="Arial"/>
                <w:lang w:eastAsia="en-GB"/>
              </w:rPr>
              <w:t>Has contributed to research</w:t>
            </w:r>
          </w:p>
          <w:p w:rsidRPr="00005B7A" w:rsidR="00DB1FC9" w:rsidP="00DA51F6" w:rsidRDefault="00DB1FC9" w14:paraId="5684974C" w14:textId="77777777">
            <w:pPr>
              <w:rPr>
                <w:rFonts w:cs="Arial"/>
              </w:rPr>
            </w:pPr>
            <w:r w:rsidRPr="00005B7A">
              <w:rPr>
                <w:rFonts w:cs="Arial"/>
              </w:rPr>
              <w:t>Academic publications (e.g., peer reviewed journals, abstracts, posters, book chapters)</w:t>
            </w:r>
          </w:p>
        </w:tc>
      </w:tr>
      <w:tr w:rsidRPr="00005B7A" w:rsidR="00DB1FC9" w:rsidTr="00DA51F6" w14:paraId="3030F19B" w14:textId="77777777">
        <w:trPr>
          <w:trHeight w:val="154"/>
        </w:trPr>
        <w:tc>
          <w:tcPr>
            <w:tcW w:w="1778" w:type="dxa"/>
            <w:vMerge w:val="restart"/>
            <w:shd w:val="clear" w:color="auto" w:fill="D9D9D9" w:themeFill="background1" w:themeFillShade="D9"/>
            <w:vAlign w:val="center"/>
          </w:tcPr>
          <w:p w:rsidRPr="00005B7A" w:rsidR="00DB1FC9" w:rsidP="00DA51F6" w:rsidRDefault="00DB1FC9" w14:paraId="0539B4D8" w14:textId="77777777">
            <w:pPr>
              <w:rPr>
                <w:rFonts w:cs="Arial"/>
              </w:rPr>
            </w:pPr>
            <w:r w:rsidRPr="00005B7A">
              <w:rPr>
                <w:rFonts w:cs="Arial"/>
              </w:rPr>
              <w:t>Experience</w:t>
            </w:r>
          </w:p>
        </w:tc>
        <w:tc>
          <w:tcPr>
            <w:tcW w:w="4141" w:type="dxa"/>
            <w:shd w:val="clear" w:color="auto" w:fill="D9D9D9" w:themeFill="background1" w:themeFillShade="D9"/>
          </w:tcPr>
          <w:p w:rsidRPr="00005B7A" w:rsidR="00DB1FC9" w:rsidP="00DA51F6" w:rsidRDefault="00DB1FC9" w14:paraId="11DB6D2E" w14:textId="77777777">
            <w:pPr>
              <w:jc w:val="center"/>
              <w:rPr>
                <w:rFonts w:eastAsia="Times New Roman" w:cs="Arial"/>
                <w:b/>
                <w:lang w:eastAsia="en-GB"/>
              </w:rPr>
            </w:pPr>
            <w:r w:rsidRPr="00005B7A">
              <w:rPr>
                <w:rFonts w:eastAsia="Times New Roman" w:cs="Arial"/>
                <w:b/>
                <w:lang w:eastAsia="en-GB"/>
              </w:rPr>
              <w:t>Clinicians</w:t>
            </w:r>
          </w:p>
        </w:tc>
        <w:tc>
          <w:tcPr>
            <w:tcW w:w="4566" w:type="dxa"/>
            <w:shd w:val="clear" w:color="auto" w:fill="D9D9D9" w:themeFill="background1" w:themeFillShade="D9"/>
          </w:tcPr>
          <w:p w:rsidRPr="00005B7A" w:rsidR="00DB1FC9" w:rsidP="00DA51F6" w:rsidRDefault="00DB1FC9" w14:paraId="29F845B8" w14:textId="77777777">
            <w:pPr>
              <w:jc w:val="center"/>
              <w:rPr>
                <w:rFonts w:cs="Arial"/>
                <w:b/>
              </w:rPr>
            </w:pPr>
            <w:r w:rsidRPr="00005B7A">
              <w:rPr>
                <w:rFonts w:cs="Arial"/>
                <w:b/>
              </w:rPr>
              <w:t>Wider workforce</w:t>
            </w:r>
            <w:r>
              <w:rPr>
                <w:rFonts w:cs="Arial"/>
                <w:b/>
              </w:rPr>
              <w:t>*</w:t>
            </w:r>
          </w:p>
        </w:tc>
        <w:tc>
          <w:tcPr>
            <w:tcW w:w="4819" w:type="dxa"/>
            <w:vMerge w:val="restart"/>
            <w:shd w:val="clear" w:color="auto" w:fill="D9D9D9" w:themeFill="background1" w:themeFillShade="D9"/>
          </w:tcPr>
          <w:p w:rsidRPr="00005B7A" w:rsidR="00DB1FC9" w:rsidP="00DA51F6" w:rsidRDefault="00DB1FC9" w14:paraId="34976CAD" w14:textId="77777777">
            <w:pPr>
              <w:rPr>
                <w:rFonts w:cs="Arial"/>
              </w:rPr>
            </w:pPr>
            <w:r w:rsidRPr="00005B7A">
              <w:rPr>
                <w:rFonts w:cs="Arial"/>
              </w:rPr>
              <w:t>Can evidence contribution to successful service improvement (e.g., achieving service change, Trust level awards, HSJ/BMJ awards, etc.)</w:t>
            </w:r>
          </w:p>
        </w:tc>
      </w:tr>
      <w:tr w:rsidRPr="00005B7A" w:rsidR="00DB1FC9" w:rsidTr="00DA51F6" w14:paraId="01411B47" w14:textId="77777777">
        <w:trPr>
          <w:trHeight w:val="1211"/>
        </w:trPr>
        <w:tc>
          <w:tcPr>
            <w:tcW w:w="1778" w:type="dxa"/>
            <w:vMerge/>
            <w:vAlign w:val="center"/>
          </w:tcPr>
          <w:p w:rsidRPr="00005B7A" w:rsidR="00DB1FC9" w:rsidP="00DA51F6" w:rsidRDefault="00DB1FC9" w14:paraId="60B18918" w14:textId="77777777">
            <w:pPr>
              <w:rPr>
                <w:rFonts w:cs="Arial"/>
              </w:rPr>
            </w:pPr>
          </w:p>
        </w:tc>
        <w:tc>
          <w:tcPr>
            <w:tcW w:w="4141" w:type="dxa"/>
            <w:shd w:val="clear" w:color="auto" w:fill="D9D9D9" w:themeFill="background1" w:themeFillShade="D9"/>
          </w:tcPr>
          <w:p w:rsidRPr="00005B7A" w:rsidR="00DB1FC9" w:rsidP="00DA51F6" w:rsidRDefault="00DB1FC9" w14:paraId="15E549FE" w14:textId="77777777">
            <w:pPr>
              <w:rPr>
                <w:rFonts w:cs="Arial"/>
              </w:rPr>
            </w:pPr>
            <w:r w:rsidRPr="00005B7A">
              <w:rPr>
                <w:rFonts w:eastAsia="Times New Roman" w:cs="Arial"/>
                <w:lang w:eastAsia="en-GB"/>
              </w:rPr>
              <w:t>Registered healthcare professional providing NHS services (A</w:t>
            </w:r>
            <w:r>
              <w:rPr>
                <w:rFonts w:eastAsia="Times New Roman" w:cs="Arial"/>
                <w:lang w:eastAsia="en-GB"/>
              </w:rPr>
              <w:t xml:space="preserve">genda </w:t>
            </w:r>
            <w:r w:rsidRPr="00005B7A">
              <w:rPr>
                <w:rFonts w:eastAsia="Times New Roman" w:cs="Arial"/>
                <w:lang w:eastAsia="en-GB"/>
              </w:rPr>
              <w:t>f</w:t>
            </w:r>
            <w:r>
              <w:rPr>
                <w:rFonts w:eastAsia="Times New Roman" w:cs="Arial"/>
                <w:lang w:eastAsia="en-GB"/>
              </w:rPr>
              <w:t xml:space="preserve">or </w:t>
            </w:r>
            <w:r w:rsidRPr="00005B7A">
              <w:rPr>
                <w:rFonts w:eastAsia="Times New Roman" w:cs="Arial"/>
                <w:lang w:eastAsia="en-GB"/>
              </w:rPr>
              <w:t>C</w:t>
            </w:r>
            <w:r>
              <w:rPr>
                <w:rFonts w:eastAsia="Times New Roman" w:cs="Arial"/>
                <w:lang w:eastAsia="en-GB"/>
              </w:rPr>
              <w:t>hange</w:t>
            </w:r>
            <w:r w:rsidRPr="00005B7A">
              <w:rPr>
                <w:rFonts w:eastAsia="Times New Roman" w:cs="Arial"/>
                <w:lang w:eastAsia="en-GB"/>
              </w:rPr>
              <w:t xml:space="preserve"> </w:t>
            </w:r>
            <w:r>
              <w:rPr>
                <w:rFonts w:eastAsia="Times New Roman" w:cs="Arial"/>
                <w:lang w:eastAsia="en-GB"/>
              </w:rPr>
              <w:t>b</w:t>
            </w:r>
            <w:r w:rsidRPr="00005B7A">
              <w:rPr>
                <w:rFonts w:eastAsia="Times New Roman" w:cs="Arial"/>
                <w:lang w:eastAsia="en-GB"/>
              </w:rPr>
              <w:t xml:space="preserve">and 6 and above, or equivalent; dentists-in-training; doctors-in-training post FY2 and their </w:t>
            </w:r>
            <w:r>
              <w:rPr>
                <w:rFonts w:eastAsia="Times New Roman" w:cs="Arial"/>
                <w:lang w:eastAsia="en-GB"/>
              </w:rPr>
              <w:t>Trust/</w:t>
            </w:r>
            <w:r w:rsidRPr="00005B7A">
              <w:rPr>
                <w:rFonts w:eastAsia="Times New Roman" w:cs="Arial"/>
                <w:lang w:eastAsia="en-GB"/>
              </w:rPr>
              <w:t>SAS equivalent).</w:t>
            </w:r>
          </w:p>
        </w:tc>
        <w:tc>
          <w:tcPr>
            <w:tcW w:w="4566" w:type="dxa"/>
            <w:shd w:val="clear" w:color="auto" w:fill="D9D9D9" w:themeFill="background1" w:themeFillShade="D9"/>
          </w:tcPr>
          <w:p w:rsidRPr="00005B7A" w:rsidR="00DB1FC9" w:rsidP="00DA51F6" w:rsidRDefault="00DB1FC9" w14:paraId="18545ACF" w14:textId="77777777">
            <w:pPr>
              <w:rPr>
                <w:rFonts w:cs="Arial"/>
              </w:rPr>
            </w:pPr>
            <w:r w:rsidRPr="00005B7A">
              <w:rPr>
                <w:rFonts w:cs="Arial"/>
              </w:rPr>
              <w:t>Currently working in a</w:t>
            </w:r>
            <w:r>
              <w:rPr>
                <w:rFonts w:cs="Arial"/>
              </w:rPr>
              <w:t xml:space="preserve">n NHS role or other public sector </w:t>
            </w:r>
            <w:r w:rsidRPr="00005B7A">
              <w:rPr>
                <w:rFonts w:cs="Arial"/>
              </w:rPr>
              <w:t>role relevant to population health and with leadership responsibility (A</w:t>
            </w:r>
            <w:r>
              <w:rPr>
                <w:rFonts w:cs="Arial"/>
              </w:rPr>
              <w:t xml:space="preserve">genda </w:t>
            </w:r>
            <w:r w:rsidRPr="00005B7A">
              <w:rPr>
                <w:rFonts w:cs="Arial"/>
              </w:rPr>
              <w:t>f</w:t>
            </w:r>
            <w:r>
              <w:rPr>
                <w:rFonts w:cs="Arial"/>
              </w:rPr>
              <w:t xml:space="preserve">or </w:t>
            </w:r>
            <w:r w:rsidRPr="00005B7A">
              <w:rPr>
                <w:rFonts w:cs="Arial"/>
              </w:rPr>
              <w:t>C</w:t>
            </w:r>
            <w:r>
              <w:rPr>
                <w:rFonts w:cs="Arial"/>
              </w:rPr>
              <w:t>hange</w:t>
            </w:r>
            <w:r w:rsidRPr="00005B7A">
              <w:rPr>
                <w:rFonts w:cs="Arial"/>
              </w:rPr>
              <w:t xml:space="preserve"> band 6 or above, or equivalent) </w:t>
            </w:r>
          </w:p>
        </w:tc>
        <w:tc>
          <w:tcPr>
            <w:tcW w:w="4819" w:type="dxa"/>
            <w:vMerge/>
          </w:tcPr>
          <w:p w:rsidRPr="00005B7A" w:rsidR="00DB1FC9" w:rsidP="00DA51F6" w:rsidRDefault="00DB1FC9" w14:paraId="772C8040" w14:textId="77777777">
            <w:pPr>
              <w:rPr>
                <w:rFonts w:cs="Arial"/>
              </w:rPr>
            </w:pPr>
          </w:p>
        </w:tc>
      </w:tr>
      <w:tr w:rsidRPr="00005B7A" w:rsidR="00DB1FC9" w:rsidTr="00DA51F6" w14:paraId="1A6627A3" w14:textId="77777777">
        <w:trPr>
          <w:trHeight w:val="821"/>
        </w:trPr>
        <w:tc>
          <w:tcPr>
            <w:tcW w:w="1778" w:type="dxa"/>
            <w:vMerge/>
            <w:vAlign w:val="center"/>
          </w:tcPr>
          <w:p w:rsidRPr="00005B7A" w:rsidR="00DB1FC9" w:rsidP="00DA51F6" w:rsidRDefault="00DB1FC9" w14:paraId="39C0285E" w14:textId="77777777">
            <w:pPr>
              <w:rPr>
                <w:rFonts w:cs="Arial"/>
              </w:rPr>
            </w:pPr>
          </w:p>
        </w:tc>
        <w:tc>
          <w:tcPr>
            <w:tcW w:w="8707" w:type="dxa"/>
            <w:gridSpan w:val="2"/>
            <w:shd w:val="clear" w:color="auto" w:fill="D9D9D9" w:themeFill="background1" w:themeFillShade="D9"/>
          </w:tcPr>
          <w:p w:rsidRPr="00005B7A" w:rsidR="00DB1FC9" w:rsidP="00DA51F6" w:rsidRDefault="00DB1FC9" w14:paraId="1BD9731F" w14:textId="77777777">
            <w:pPr>
              <w:rPr>
                <w:rFonts w:cs="Arial"/>
                <w:color w:val="FF0000"/>
              </w:rPr>
            </w:pPr>
            <w:r w:rsidRPr="00005B7A">
              <w:rPr>
                <w:rFonts w:cs="Arial"/>
              </w:rPr>
              <w:t xml:space="preserve">Contribution to delivery of high-quality care (e.g., </w:t>
            </w:r>
            <w:r>
              <w:rPr>
                <w:rFonts w:cs="Arial"/>
              </w:rPr>
              <w:t>improving</w:t>
            </w:r>
            <w:r w:rsidRPr="00005B7A">
              <w:rPr>
                <w:rFonts w:cs="Arial"/>
              </w:rPr>
              <w:t xml:space="preserve"> services, clinical audit, public/patient</w:t>
            </w:r>
            <w:r>
              <w:rPr>
                <w:rFonts w:cs="Arial"/>
              </w:rPr>
              <w:t>-</w:t>
            </w:r>
            <w:r w:rsidRPr="00005B7A">
              <w:rPr>
                <w:rFonts w:cs="Arial"/>
              </w:rPr>
              <w:t>involvement</w:t>
            </w:r>
            <w:r>
              <w:rPr>
                <w:rFonts w:cs="Arial"/>
              </w:rPr>
              <w:t xml:space="preserve"> initiatives</w:t>
            </w:r>
            <w:r w:rsidRPr="00005B7A">
              <w:rPr>
                <w:rFonts w:cs="Arial"/>
              </w:rPr>
              <w:t>, quality improvement)</w:t>
            </w:r>
          </w:p>
          <w:p w:rsidRPr="00005B7A" w:rsidR="00DB1FC9" w:rsidP="00DA51F6" w:rsidRDefault="00DB1FC9" w14:paraId="00222A75" w14:textId="77777777">
            <w:pPr>
              <w:rPr>
                <w:rFonts w:cs="Arial"/>
                <w:color w:val="FF0000"/>
              </w:rPr>
            </w:pPr>
            <w:r w:rsidRPr="00005B7A">
              <w:rPr>
                <w:rFonts w:cs="Arial"/>
              </w:rPr>
              <w:t>Evidence of satisfactory career progression</w:t>
            </w:r>
          </w:p>
        </w:tc>
        <w:tc>
          <w:tcPr>
            <w:tcW w:w="4819" w:type="dxa"/>
            <w:vMerge/>
          </w:tcPr>
          <w:p w:rsidRPr="00005B7A" w:rsidR="00DB1FC9" w:rsidP="00DA51F6" w:rsidRDefault="00DB1FC9" w14:paraId="39C374D7" w14:textId="77777777">
            <w:pPr>
              <w:rPr>
                <w:rFonts w:cs="Arial"/>
              </w:rPr>
            </w:pPr>
          </w:p>
        </w:tc>
      </w:tr>
      <w:tr w:rsidRPr="00005B7A" w:rsidR="00DB1FC9" w:rsidTr="00DA51F6" w14:paraId="4C2FFA00" w14:textId="77777777">
        <w:tc>
          <w:tcPr>
            <w:tcW w:w="1778" w:type="dxa"/>
            <w:vAlign w:val="center"/>
          </w:tcPr>
          <w:p w:rsidRPr="00005B7A" w:rsidR="00DB1FC9" w:rsidP="00DA51F6" w:rsidRDefault="00DB1FC9" w14:paraId="5C0B5DAC" w14:textId="77777777">
            <w:pPr>
              <w:rPr>
                <w:rFonts w:cs="Arial"/>
              </w:rPr>
            </w:pPr>
            <w:r w:rsidRPr="00005B7A">
              <w:rPr>
                <w:rFonts w:cs="Arial"/>
              </w:rPr>
              <w:t>Skills</w:t>
            </w:r>
          </w:p>
        </w:tc>
        <w:tc>
          <w:tcPr>
            <w:tcW w:w="8707" w:type="dxa"/>
            <w:gridSpan w:val="2"/>
          </w:tcPr>
          <w:p w:rsidRPr="00005B7A" w:rsidR="00DB1FC9" w:rsidP="00DA51F6" w:rsidRDefault="00DB1FC9" w14:paraId="3B1577EF" w14:textId="77777777">
            <w:pPr>
              <w:rPr>
                <w:rFonts w:eastAsia="Times New Roman" w:cs="Arial"/>
                <w:color w:val="212121"/>
                <w:lang w:eastAsia="en-GB"/>
              </w:rPr>
            </w:pPr>
            <w:r w:rsidRPr="00005B7A">
              <w:rPr>
                <w:rFonts w:eastAsia="Times New Roman" w:cs="Arial"/>
                <w:color w:val="212121"/>
                <w:lang w:eastAsia="en-GB"/>
              </w:rPr>
              <w:t>Demonstrates strong oral and written communication skills</w:t>
            </w:r>
          </w:p>
          <w:p w:rsidRPr="00005B7A" w:rsidR="00DB1FC9" w:rsidP="00DA51F6" w:rsidRDefault="00DB1FC9" w14:paraId="41A6ED9B" w14:textId="77777777">
            <w:pPr>
              <w:rPr>
                <w:rFonts w:eastAsia="Times New Roman" w:cs="Arial"/>
                <w:color w:val="212121"/>
                <w:lang w:eastAsia="en-GB"/>
              </w:rPr>
            </w:pPr>
            <w:r w:rsidRPr="00005B7A">
              <w:rPr>
                <w:rFonts w:eastAsia="Times New Roman" w:cs="Arial"/>
                <w:color w:val="212121"/>
                <w:lang w:eastAsia="en-GB"/>
              </w:rPr>
              <w:t>Effective team player</w:t>
            </w:r>
          </w:p>
          <w:p w:rsidRPr="00005B7A" w:rsidR="00DB1FC9" w:rsidP="00DA51F6" w:rsidRDefault="00DB1FC9" w14:paraId="3BF62EB9" w14:textId="77777777">
            <w:pPr>
              <w:rPr>
                <w:rFonts w:eastAsia="Times New Roman" w:cs="Arial"/>
                <w:color w:val="212121"/>
                <w:lang w:eastAsia="en-GB"/>
              </w:rPr>
            </w:pPr>
            <w:r w:rsidRPr="00005B7A">
              <w:rPr>
                <w:rFonts w:eastAsia="Times New Roman" w:cs="Arial"/>
                <w:color w:val="212121"/>
                <w:lang w:eastAsia="en-GB"/>
              </w:rPr>
              <w:t>Data-analysis: able to understand and manipulate data (including familiarisation with statistics/charts and word processing packages)</w:t>
            </w:r>
          </w:p>
          <w:p w:rsidRPr="00005B7A" w:rsidR="00DB1FC9" w:rsidP="00DA51F6" w:rsidRDefault="00DB1FC9" w14:paraId="6E6B39C2" w14:textId="77777777">
            <w:pPr>
              <w:rPr>
                <w:rFonts w:eastAsia="Times New Roman" w:cs="Arial"/>
                <w:color w:val="212121"/>
                <w:lang w:eastAsia="en-GB"/>
              </w:rPr>
            </w:pPr>
            <w:r w:rsidRPr="00005B7A">
              <w:rPr>
                <w:rFonts w:eastAsia="Times New Roman" w:cs="Arial"/>
                <w:color w:val="212121"/>
                <w:lang w:eastAsia="en-GB"/>
              </w:rPr>
              <w:t>Able to search for and critically review literature</w:t>
            </w:r>
          </w:p>
          <w:p w:rsidRPr="00005B7A" w:rsidR="00DB1FC9" w:rsidP="00DA51F6" w:rsidRDefault="00DB1FC9" w14:paraId="2293BD6A" w14:textId="77777777">
            <w:pPr>
              <w:rPr>
                <w:rFonts w:eastAsia="Times New Roman" w:cs="Arial"/>
                <w:color w:val="212121"/>
                <w:lang w:eastAsia="en-GB"/>
              </w:rPr>
            </w:pPr>
            <w:r w:rsidRPr="00005B7A">
              <w:rPr>
                <w:rFonts w:eastAsia="Times New Roman" w:cs="Arial"/>
                <w:color w:val="212121"/>
                <w:lang w:eastAsia="en-GB"/>
              </w:rPr>
              <w:t xml:space="preserve">Organisational skills, including time management and project completion </w:t>
            </w:r>
          </w:p>
        </w:tc>
        <w:tc>
          <w:tcPr>
            <w:tcW w:w="4819" w:type="dxa"/>
          </w:tcPr>
          <w:p w:rsidRPr="00005B7A" w:rsidR="00DB1FC9" w:rsidP="00DA51F6" w:rsidRDefault="00DB1FC9" w14:paraId="18D661C1" w14:textId="77777777">
            <w:r w:rsidRPr="00005B7A">
              <w:t>Delivered presentations to a large audience</w:t>
            </w:r>
          </w:p>
          <w:p w:rsidRPr="00005B7A" w:rsidR="00DB1FC9" w:rsidP="00DA51F6" w:rsidRDefault="00DB1FC9" w14:paraId="7370DF35" w14:textId="77777777">
            <w:pPr>
              <w:rPr>
                <w:rFonts w:cs="Arial"/>
              </w:rPr>
            </w:pPr>
            <w:r w:rsidRPr="00005B7A">
              <w:t>Evidence of innovation and solution development</w:t>
            </w:r>
          </w:p>
        </w:tc>
      </w:tr>
      <w:tr w:rsidRPr="00005B7A" w:rsidR="00DB1FC9" w:rsidTr="00DA51F6" w14:paraId="0B6C1279" w14:textId="77777777">
        <w:tc>
          <w:tcPr>
            <w:tcW w:w="1778" w:type="dxa"/>
            <w:shd w:val="clear" w:color="auto" w:fill="D9D9D9" w:themeFill="background1" w:themeFillShade="D9"/>
            <w:vAlign w:val="center"/>
          </w:tcPr>
          <w:p w:rsidRPr="00005B7A" w:rsidR="00DB1FC9" w:rsidP="00DA51F6" w:rsidRDefault="00DB1FC9" w14:paraId="6796B4AE" w14:textId="77777777">
            <w:pPr>
              <w:rPr>
                <w:rFonts w:cs="Arial"/>
              </w:rPr>
            </w:pPr>
            <w:r w:rsidRPr="00005B7A">
              <w:rPr>
                <w:rFonts w:cs="Arial"/>
              </w:rPr>
              <w:t>Understanding</w:t>
            </w:r>
          </w:p>
        </w:tc>
        <w:tc>
          <w:tcPr>
            <w:tcW w:w="8707" w:type="dxa"/>
            <w:gridSpan w:val="2"/>
            <w:shd w:val="clear" w:color="auto" w:fill="D9D9D9" w:themeFill="background1" w:themeFillShade="D9"/>
          </w:tcPr>
          <w:p w:rsidRPr="00005B7A" w:rsidR="00DB1FC9" w:rsidP="00DA51F6" w:rsidRDefault="00DB1FC9" w14:paraId="1B9E5985" w14:textId="77777777">
            <w:pPr>
              <w:rPr>
                <w:rFonts w:eastAsia="Times New Roman" w:cs="Arial"/>
                <w:b/>
                <w:bCs/>
                <w:color w:val="212121"/>
                <w:lang w:eastAsia="en-GB"/>
              </w:rPr>
            </w:pPr>
            <w:r w:rsidRPr="00005B7A">
              <w:rPr>
                <w:rFonts w:eastAsia="Times New Roman" w:cs="Arial"/>
                <w:color w:val="212121"/>
                <w:lang w:eastAsia="en-GB"/>
              </w:rPr>
              <w:t>Sound knowledge of the English healthcare system (i.e., service provision, research, education, primary and secondary care, etc), its current challenges and future national policy direction</w:t>
            </w:r>
          </w:p>
          <w:p w:rsidRPr="00005B7A" w:rsidR="00DB1FC9" w:rsidP="00DA51F6" w:rsidRDefault="00DB1FC9" w14:paraId="24DD02C8" w14:textId="77777777">
            <w:pPr>
              <w:rPr>
                <w:rFonts w:eastAsia="Times New Roman" w:cs="Arial"/>
                <w:b/>
                <w:bCs/>
                <w:color w:val="212121"/>
                <w:lang w:eastAsia="en-GB"/>
              </w:rPr>
            </w:pPr>
            <w:r w:rsidRPr="00005B7A">
              <w:rPr>
                <w:rFonts w:eastAsia="Times New Roman" w:cs="Arial"/>
                <w:color w:val="212121"/>
                <w:lang w:eastAsia="en-GB"/>
              </w:rPr>
              <w:t>Familiarity and interest with population health approaches and health inequalities in England</w:t>
            </w:r>
          </w:p>
        </w:tc>
        <w:tc>
          <w:tcPr>
            <w:tcW w:w="4819" w:type="dxa"/>
            <w:shd w:val="clear" w:color="auto" w:fill="D9D9D9" w:themeFill="background1" w:themeFillShade="D9"/>
          </w:tcPr>
          <w:p w:rsidRPr="00005B7A" w:rsidR="00DB1FC9" w:rsidP="00DA51F6" w:rsidRDefault="00DB1FC9" w14:paraId="4DC086BA" w14:textId="77777777">
            <w:pPr>
              <w:rPr>
                <w:rFonts w:cs="Arial"/>
              </w:rPr>
            </w:pPr>
            <w:r w:rsidRPr="00005B7A">
              <w:rPr>
                <w:rFonts w:cs="Arial"/>
              </w:rPr>
              <w:t xml:space="preserve">Awareness of the top priorities for the NHS </w:t>
            </w:r>
          </w:p>
          <w:p w:rsidRPr="00005B7A" w:rsidR="00DB1FC9" w:rsidP="00DA51F6" w:rsidRDefault="00DB1FC9" w14:paraId="6DFD5FC4" w14:textId="77777777">
            <w:pPr>
              <w:rPr>
                <w:rFonts w:cs="Arial"/>
              </w:rPr>
            </w:pPr>
            <w:r>
              <w:rPr>
                <w:rFonts w:cs="Arial"/>
              </w:rPr>
              <w:t>Awareness</w:t>
            </w:r>
            <w:r w:rsidRPr="00005B7A">
              <w:rPr>
                <w:rFonts w:cs="Arial"/>
              </w:rPr>
              <w:t xml:space="preserve"> of epidemiology, health promotion and disease prevention</w:t>
            </w:r>
          </w:p>
          <w:p w:rsidRPr="00005B7A" w:rsidR="00DB1FC9" w:rsidP="00DA51F6" w:rsidRDefault="00DB1FC9" w14:paraId="2C4FC602" w14:textId="77777777">
            <w:pPr>
              <w:rPr>
                <w:rFonts w:cs="Arial"/>
              </w:rPr>
            </w:pPr>
          </w:p>
        </w:tc>
      </w:tr>
    </w:tbl>
    <w:p w:rsidRPr="003939C8" w:rsidR="003939C8" w:rsidP="003939C8" w:rsidRDefault="009160A9" w14:paraId="3CAAE0C6" w14:textId="05DA210A">
      <w:pPr>
        <w:sectPr w:rsidRPr="003939C8" w:rsidR="003939C8" w:rsidSect="00CC57A3">
          <w:pgSz w:w="16840" w:h="11900" w:orient="landscape"/>
          <w:pgMar w:top="-568" w:right="720" w:bottom="284" w:left="720" w:header="567" w:footer="567" w:gutter="0"/>
          <w:cols w:space="708"/>
          <w:titlePg/>
          <w:docGrid w:linePitch="360"/>
        </w:sectPr>
      </w:pPr>
      <w:r w:rsidRPr="009160A9">
        <w:t xml:space="preserve">*The term ‘wider workforce’ is used to refer to NHS and public sector professionals that are not clinicians but work in health and care services.  </w:t>
      </w:r>
    </w:p>
    <w:p w:rsidRPr="004D7A1E" w:rsidR="004D7A1E" w:rsidP="004D7A1E" w:rsidRDefault="004D7A1E" w14:paraId="5DAD1572" w14:textId="39A9A850">
      <w:pPr>
        <w:pStyle w:val="Heading1"/>
      </w:pPr>
      <w:bookmarkStart w:name="_Toc86227534" w:id="21"/>
      <w:r w:rsidRPr="00B46EFF">
        <w:rPr>
          <w:color w:val="004689" w:themeColor="text1" w:themeShade="BF"/>
        </w:rPr>
        <w:t>Appendix 2: population health projects</w:t>
      </w:r>
      <w:bookmarkEnd w:id="21"/>
    </w:p>
    <w:p w:rsidRPr="00A167CB" w:rsidR="004D7A1E" w:rsidP="004D7A1E" w:rsidRDefault="004D7A1E" w14:paraId="541C9280" w14:textId="77777777">
      <w:pPr>
        <w:pStyle w:val="BodyCopy"/>
        <w:rPr>
          <w:rFonts w:cs="Arial"/>
          <w:sz w:val="24"/>
          <w:szCs w:val="24"/>
        </w:rPr>
      </w:pPr>
      <w:r w:rsidRPr="00A167CB">
        <w:rPr>
          <w:rFonts w:cs="Arial"/>
          <w:sz w:val="24"/>
          <w:szCs w:val="24"/>
        </w:rPr>
        <w:t xml:space="preserve">In this section we provide examples of potential and previously delivered population health projects. A population health project is an improvement project with a focus on improving the outcomes for a group of patients. It is </w:t>
      </w:r>
      <w:proofErr w:type="gramStart"/>
      <w:r w:rsidRPr="00A167CB">
        <w:rPr>
          <w:rFonts w:cs="Arial"/>
          <w:sz w:val="24"/>
          <w:szCs w:val="24"/>
        </w:rPr>
        <w:t>similar to</w:t>
      </w:r>
      <w:proofErr w:type="gramEnd"/>
      <w:r w:rsidRPr="00A167CB">
        <w:rPr>
          <w:rFonts w:cs="Arial"/>
          <w:sz w:val="24"/>
          <w:szCs w:val="24"/>
        </w:rPr>
        <w:t xml:space="preserve"> a service or quality improvement. It is different however, from an audit in that the focus is on identifying population-based outcomes that matter (through an analysis of patient data), developing or re-designing interventions through an understanding of the needs of a local population or community and monitoring improvements in key outcome measures. A population health project can also demonstrate the importance of sectors outside health, particularly local government, in improving health outcomes. </w:t>
      </w:r>
    </w:p>
    <w:p w:rsidRPr="00425862" w:rsidR="004D7A1E" w:rsidP="004D7A1E" w:rsidRDefault="004D7A1E" w14:paraId="672D1B67" w14:textId="77777777">
      <w:pPr>
        <w:rPr>
          <w:lang w:val="en-US"/>
        </w:rPr>
      </w:pPr>
    </w:p>
    <w:p w:rsidR="001B004D" w:rsidP="001F44C3" w:rsidRDefault="001B004D" w14:paraId="642BA8FC" w14:textId="77777777">
      <w:pPr>
        <w:pStyle w:val="Heading2"/>
      </w:pPr>
      <w:bookmarkStart w:name="_Toc86227535" w:id="22"/>
    </w:p>
    <w:p w:rsidRPr="00B46EFF" w:rsidR="004D7A1E" w:rsidP="001F44C3" w:rsidRDefault="004D7A1E" w14:paraId="4160316B" w14:textId="11D2EF1B">
      <w:pPr>
        <w:pStyle w:val="Heading2"/>
        <w:rPr>
          <w:color w:val="004689" w:themeColor="text1" w:themeShade="BF"/>
        </w:rPr>
      </w:pPr>
      <w:r w:rsidRPr="00B46EFF">
        <w:rPr>
          <w:color w:val="004689" w:themeColor="text1" w:themeShade="BF"/>
        </w:rPr>
        <w:t>Real life examples of population health projects</w:t>
      </w:r>
      <w:bookmarkEnd w:id="22"/>
    </w:p>
    <w:p w:rsidRPr="001B004D" w:rsidR="00304179" w:rsidP="00304179" w:rsidRDefault="00304179" w14:paraId="5A0B13EC" w14:textId="61A24F05">
      <w:pPr>
        <w:rPr>
          <w:b/>
          <w:u w:val="single"/>
        </w:rPr>
      </w:pPr>
      <w:r w:rsidRPr="001B004D">
        <w:rPr>
          <w:b/>
          <w:bCs/>
          <w:u w:val="single"/>
        </w:rPr>
        <w:t>Project 1</w:t>
      </w:r>
      <w:r w:rsidRPr="001B004D" w:rsidR="007A4E87">
        <w:rPr>
          <w:b/>
          <w:bCs/>
          <w:u w:val="single"/>
        </w:rPr>
        <w:t>:</w:t>
      </w:r>
      <w:r w:rsidRPr="001B004D" w:rsidR="004E154D">
        <w:rPr>
          <w:b/>
          <w:bCs/>
          <w:u w:val="single"/>
        </w:rPr>
        <w:t xml:space="preserve"> Postnatal screening of mothers diagnosed with gestational diabetes</w:t>
      </w:r>
    </w:p>
    <w:p w:rsidR="00304179" w:rsidP="00304179" w:rsidRDefault="00304179" w14:paraId="312AB7D5" w14:textId="77777777">
      <w:pPr>
        <w:rPr>
          <w:u w:val="single"/>
        </w:rPr>
      </w:pPr>
    </w:p>
    <w:p w:rsidRPr="007E3B5A" w:rsidR="00304179" w:rsidP="00304179" w:rsidRDefault="00444B8E" w14:paraId="100BF1B1" w14:textId="77777777">
      <w:pPr>
        <w:rPr>
          <w:b/>
        </w:rPr>
      </w:pPr>
      <w:r w:rsidRPr="007E3B5A">
        <w:rPr>
          <w:b/>
        </w:rPr>
        <w:t>The situation</w:t>
      </w:r>
    </w:p>
    <w:p w:rsidR="00444B8E" w:rsidP="00304179" w:rsidRDefault="00444B8E" w14:paraId="34871538" w14:textId="77777777">
      <w:pPr>
        <w:rPr>
          <w:shd w:val="clear" w:color="auto" w:fill="FFFFFF"/>
        </w:rPr>
      </w:pPr>
    </w:p>
    <w:p w:rsidRPr="007A4E87" w:rsidR="00444B8E" w:rsidP="00304179" w:rsidRDefault="00444B8E" w14:paraId="5ADEAB20" w14:textId="7C932889">
      <w:pPr>
        <w:rPr>
          <w:color w:val="333333"/>
          <w:shd w:val="clear" w:color="auto" w:fill="FFFFFF"/>
        </w:rPr>
      </w:pPr>
      <w:r w:rsidRPr="007A4E87">
        <w:rPr>
          <w:shd w:val="clear" w:color="auto" w:fill="FFFFFF"/>
        </w:rPr>
        <w:t>Women with gestational diabetes have a much greater risk of developing diabetes later in life. </w:t>
      </w:r>
      <w:hyperlink w:tgtFrame="_blank" w:history="1" r:id="rId17">
        <w:r w:rsidRPr="007A4E87">
          <w:rPr>
            <w:rStyle w:val="Hyperlink"/>
            <w:rFonts w:cs="Arial"/>
            <w:color w:val="0072C6"/>
            <w:shd w:val="clear" w:color="auto" w:fill="FFFFFF"/>
          </w:rPr>
          <w:t>NI</w:t>
        </w:r>
        <w:r w:rsidRPr="007A4E87">
          <w:rPr>
            <w:rStyle w:val="Hyperlink"/>
            <w:rFonts w:cs="Arial"/>
            <w:color w:val="0072C6"/>
            <w:shd w:val="clear" w:color="auto" w:fill="FFFFFF"/>
          </w:rPr>
          <w:t>C</w:t>
        </w:r>
        <w:r w:rsidRPr="007A4E87">
          <w:rPr>
            <w:rStyle w:val="Hyperlink"/>
            <w:rFonts w:cs="Arial"/>
            <w:color w:val="0072C6"/>
            <w:shd w:val="clear" w:color="auto" w:fill="FFFFFF"/>
          </w:rPr>
          <w:t>E</w:t>
        </w:r>
      </w:hyperlink>
      <w:r w:rsidRPr="007A4E87">
        <w:rPr>
          <w:color w:val="333333"/>
          <w:shd w:val="clear" w:color="auto" w:fill="FFFFFF"/>
        </w:rPr>
        <w:t> </w:t>
      </w:r>
      <w:r w:rsidRPr="007A4E87">
        <w:rPr>
          <w:shd w:val="clear" w:color="auto" w:fill="FFFFFF"/>
        </w:rPr>
        <w:t>recommends women have postnatal screening 3 months after birth, then an annual screen for the rest of their lives. Black and Asian women have an increased risk of diabetes.</w:t>
      </w:r>
    </w:p>
    <w:p w:rsidRPr="007A4E87" w:rsidR="00444B8E" w:rsidP="00304179" w:rsidRDefault="00444B8E" w14:paraId="64B0B184" w14:textId="77777777">
      <w:pPr>
        <w:rPr>
          <w:color w:val="333333"/>
          <w:shd w:val="clear" w:color="auto" w:fill="FFFFFF"/>
        </w:rPr>
      </w:pPr>
    </w:p>
    <w:p w:rsidRPr="007E3B5A" w:rsidR="00B64311" w:rsidP="00304179" w:rsidRDefault="00B64311" w14:paraId="261C269D" w14:textId="6EF65E79">
      <w:pPr>
        <w:rPr>
          <w:b/>
          <w:shd w:val="clear" w:color="auto" w:fill="FFFFFF"/>
        </w:rPr>
      </w:pPr>
      <w:r w:rsidRPr="007E3B5A">
        <w:rPr>
          <w:b/>
          <w:shd w:val="clear" w:color="auto" w:fill="FFFFFF"/>
        </w:rPr>
        <w:t>A</w:t>
      </w:r>
      <w:r w:rsidRPr="007E3B5A" w:rsidR="00D77835">
        <w:rPr>
          <w:b/>
          <w:shd w:val="clear" w:color="auto" w:fill="FFFFFF"/>
        </w:rPr>
        <w:t xml:space="preserve"> population health approach</w:t>
      </w:r>
    </w:p>
    <w:p w:rsidRPr="007A4E87" w:rsidR="00D77835" w:rsidP="00304179" w:rsidRDefault="00D77835" w14:paraId="66E211B1" w14:textId="77777777">
      <w:pPr>
        <w:rPr>
          <w:u w:val="single"/>
          <w:shd w:val="clear" w:color="auto" w:fill="FFFFFF"/>
        </w:rPr>
      </w:pPr>
    </w:p>
    <w:p w:rsidRPr="007A4E87" w:rsidR="00D77835" w:rsidP="00304179" w:rsidRDefault="004D04D4" w14:paraId="601F0630" w14:textId="77777777">
      <w:pPr>
        <w:rPr>
          <w:shd w:val="clear" w:color="auto" w:fill="FFFFFF"/>
        </w:rPr>
      </w:pPr>
      <w:r w:rsidRPr="007A4E87">
        <w:rPr>
          <w:shd w:val="clear" w:color="auto" w:fill="FFFFFF"/>
        </w:rPr>
        <w:t>Data from a population health management tool identified that 64% of women were not screened for diabetes postnatally and 99% were not receiving ongoing annual screening. Nationally, black women are least likely to attend the screening service. Interviews were held with black women to gather insight into their screening experiences and barriers to care.</w:t>
      </w:r>
    </w:p>
    <w:p w:rsidRPr="007A4E87" w:rsidR="004D04D4" w:rsidP="00304179" w:rsidRDefault="004D04D4" w14:paraId="22F9BF08" w14:textId="77777777">
      <w:pPr>
        <w:rPr>
          <w:shd w:val="clear" w:color="auto" w:fill="FFFFFF"/>
        </w:rPr>
      </w:pPr>
    </w:p>
    <w:p w:rsidR="004D04D4" w:rsidP="00304179" w:rsidRDefault="004D04D4" w14:paraId="6F72F40E" w14:textId="77777777">
      <w:pPr>
        <w:rPr>
          <w:b/>
          <w:shd w:val="clear" w:color="auto" w:fill="FFFFFF"/>
        </w:rPr>
      </w:pPr>
      <w:r w:rsidRPr="007E3B5A">
        <w:rPr>
          <w:b/>
          <w:shd w:val="clear" w:color="auto" w:fill="FFFFFF"/>
        </w:rPr>
        <w:t>Results</w:t>
      </w:r>
    </w:p>
    <w:p w:rsidRPr="007E3B5A" w:rsidR="004D04D4" w:rsidP="00304179" w:rsidRDefault="004D04D4" w14:paraId="205B2E6E" w14:textId="77777777">
      <w:pPr>
        <w:rPr>
          <w:b/>
          <w:shd w:val="clear" w:color="auto" w:fill="FFFFFF"/>
        </w:rPr>
      </w:pPr>
    </w:p>
    <w:p w:rsidRPr="007A4E87" w:rsidR="00207D7B" w:rsidP="007E3B5A" w:rsidRDefault="00207D7B" w14:paraId="2C15AE0C" w14:textId="7C0CCE3F">
      <w:pPr>
        <w:rPr>
          <w:rFonts w:eastAsia="Times New Roman"/>
          <w:lang w:eastAsia="en-GB"/>
        </w:rPr>
      </w:pPr>
      <w:r>
        <w:rPr>
          <w:shd w:val="clear" w:color="auto" w:fill="FFFFFF"/>
        </w:rPr>
        <w:t>G</w:t>
      </w:r>
      <w:r w:rsidRPr="007A4E87">
        <w:rPr>
          <w:rFonts w:eastAsia="Times New Roman"/>
          <w:lang w:eastAsia="en-GB"/>
        </w:rPr>
        <w:t xml:space="preserve">Ps attended a lunch and </w:t>
      </w:r>
      <w:proofErr w:type="gramStart"/>
      <w:r w:rsidRPr="007A4E87">
        <w:rPr>
          <w:rFonts w:eastAsia="Times New Roman"/>
          <w:lang w:eastAsia="en-GB"/>
        </w:rPr>
        <w:t>learn</w:t>
      </w:r>
      <w:proofErr w:type="gramEnd"/>
      <w:r w:rsidRPr="007A4E87">
        <w:rPr>
          <w:rFonts w:eastAsia="Times New Roman"/>
          <w:lang w:eastAsia="en-GB"/>
        </w:rPr>
        <w:t xml:space="preserve"> event. Practice screening lists were shared so that GPs could understand the screening rates for their practice.</w:t>
      </w:r>
      <w:r w:rsidR="001B004D">
        <w:rPr>
          <w:rFonts w:eastAsia="Times New Roman"/>
          <w:lang w:eastAsia="en-GB"/>
        </w:rPr>
        <w:t xml:space="preserve"> </w:t>
      </w:r>
      <w:r w:rsidRPr="007A4E87">
        <w:rPr>
          <w:rFonts w:eastAsia="Times New Roman"/>
          <w:lang w:eastAsia="en-GB"/>
        </w:rPr>
        <w:t>Insight from the under-represented black women was shared and discussed, to enable GPs to plan changes in their practices' approach to screening to ensure this service was accessible to all women. This includes a culturally sensitive coproduced recipe book to be rolled out to all women in the region.</w:t>
      </w:r>
    </w:p>
    <w:p w:rsidR="004D04D4" w:rsidP="00304179" w:rsidRDefault="004D04D4" w14:paraId="5AFC8539" w14:textId="77777777">
      <w:pPr>
        <w:rPr>
          <w:u w:val="single"/>
        </w:rPr>
      </w:pPr>
    </w:p>
    <w:p w:rsidRPr="007E3B5A" w:rsidR="00207D7B" w:rsidP="00304179" w:rsidRDefault="00207D7B" w14:paraId="2273E446" w14:textId="77777777">
      <w:pPr>
        <w:rPr>
          <w:b/>
        </w:rPr>
      </w:pPr>
      <w:r w:rsidRPr="007E3B5A">
        <w:rPr>
          <w:b/>
        </w:rPr>
        <w:t>Impact</w:t>
      </w:r>
    </w:p>
    <w:p w:rsidR="00207D7B" w:rsidP="00304179" w:rsidRDefault="00207D7B" w14:paraId="037DC58E" w14:textId="77777777">
      <w:pPr>
        <w:rPr>
          <w:u w:val="single"/>
        </w:rPr>
      </w:pPr>
    </w:p>
    <w:p w:rsidR="007A4E87" w:rsidP="007E3B5A" w:rsidRDefault="00E642CA" w14:paraId="38A5DC75" w14:textId="48DF63A3">
      <w:pPr>
        <w:rPr>
          <w:shd w:val="clear" w:color="auto" w:fill="FFFFFF"/>
        </w:rPr>
      </w:pPr>
      <w:r w:rsidRPr="007A4E87">
        <w:rPr>
          <w:shd w:val="clear" w:color="auto" w:fill="FFFFFF"/>
        </w:rPr>
        <w:t>The population health management tool will be used to monitor screening uptake rate over time, both overall rate and rates between different ethnic groups.</w:t>
      </w:r>
    </w:p>
    <w:p w:rsidRPr="007E3B5A" w:rsidR="002C7B55" w:rsidP="005A0BB6" w:rsidRDefault="002C7B55" w14:paraId="6FCEC36D" w14:textId="3135B91F">
      <w:pPr>
        <w:rPr>
          <w:rFonts w:asciiTheme="majorHAnsi" w:hAnsiTheme="majorHAnsi" w:cstheme="majorHAnsi"/>
          <w:u w:val="single"/>
        </w:rPr>
      </w:pPr>
    </w:p>
    <w:p w:rsidR="001B004D" w:rsidP="007E3B5A" w:rsidRDefault="001B004D" w14:paraId="12E42BAB" w14:textId="77777777">
      <w:pPr>
        <w:pStyle w:val="Heading3"/>
        <w:rPr>
          <w:rFonts w:asciiTheme="majorHAnsi" w:hAnsiTheme="majorHAnsi" w:cstheme="majorHAnsi"/>
          <w:u w:val="single"/>
        </w:rPr>
      </w:pPr>
    </w:p>
    <w:p w:rsidR="001B004D" w:rsidP="007E3B5A" w:rsidRDefault="001B004D" w14:paraId="0906E993" w14:textId="77777777">
      <w:pPr>
        <w:pStyle w:val="Heading3"/>
        <w:rPr>
          <w:rFonts w:asciiTheme="majorHAnsi" w:hAnsiTheme="majorHAnsi" w:cstheme="majorHAnsi"/>
          <w:u w:val="single"/>
        </w:rPr>
      </w:pPr>
    </w:p>
    <w:p w:rsidR="001B004D" w:rsidP="007E3B5A" w:rsidRDefault="001B004D" w14:paraId="2C4FF0BB" w14:textId="77777777">
      <w:pPr>
        <w:pStyle w:val="Heading3"/>
        <w:rPr>
          <w:rFonts w:asciiTheme="majorHAnsi" w:hAnsiTheme="majorHAnsi" w:cstheme="majorHAnsi"/>
          <w:u w:val="single"/>
        </w:rPr>
      </w:pPr>
    </w:p>
    <w:p w:rsidRPr="001B004D" w:rsidR="00CB60FA" w:rsidP="007E3B5A" w:rsidRDefault="00845B6C" w14:paraId="0FC2963C" w14:textId="6C9F0A02">
      <w:pPr>
        <w:pStyle w:val="Heading3"/>
        <w:rPr>
          <w:rFonts w:asciiTheme="majorHAnsi" w:hAnsiTheme="majorHAnsi" w:cstheme="majorHAnsi"/>
          <w:spacing w:val="-15"/>
          <w:u w:val="single"/>
        </w:rPr>
      </w:pPr>
      <w:r w:rsidRPr="001B004D">
        <w:rPr>
          <w:rFonts w:asciiTheme="majorHAnsi" w:hAnsiTheme="majorHAnsi" w:cstheme="majorHAnsi"/>
          <w:u w:val="single"/>
        </w:rPr>
        <w:t>Project 2:</w:t>
      </w:r>
      <w:r w:rsidRPr="001B004D" w:rsidR="002C7B55">
        <w:rPr>
          <w:rFonts w:asciiTheme="majorHAnsi" w:hAnsiTheme="majorHAnsi" w:cstheme="majorHAnsi"/>
          <w:u w:val="single"/>
        </w:rPr>
        <w:t xml:space="preserve"> The road to recovery: developing a long COVID-19 Service </w:t>
      </w:r>
    </w:p>
    <w:p w:rsidRPr="007E3B5A" w:rsidR="002C7B55" w:rsidP="007E3B5A" w:rsidRDefault="002C7B55" w14:paraId="3356FC72" w14:textId="4CDEBA05">
      <w:pPr>
        <w:spacing w:before="100" w:beforeAutospacing="1"/>
        <w:rPr>
          <w:b/>
          <w:bCs/>
        </w:rPr>
      </w:pPr>
      <w:r w:rsidRPr="007E3B5A">
        <w:rPr>
          <w:b/>
          <w:bCs/>
        </w:rPr>
        <w:t xml:space="preserve">The situation </w:t>
      </w:r>
    </w:p>
    <w:p w:rsidRPr="007E3B5A" w:rsidR="00CB60FA" w:rsidP="007E3B5A" w:rsidRDefault="00CB60FA" w14:paraId="761925F0" w14:textId="24F7E0B7">
      <w:pPr>
        <w:spacing w:before="100" w:beforeAutospacing="1"/>
        <w:rPr>
          <w:shd w:val="clear" w:color="auto" w:fill="FFFFFF"/>
        </w:rPr>
      </w:pPr>
      <w:r w:rsidRPr="007E3B5A">
        <w:rPr>
          <w:shd w:val="clear" w:color="auto" w:fill="FFFFFF"/>
        </w:rPr>
        <w:t>Long-term effects of COVID-19 were observed in both hospitalised patients and those in the community. Patients were being referred with a wide range of debilitating symptoms, often affecting multiple body systems.</w:t>
      </w:r>
    </w:p>
    <w:p w:rsidRPr="007E3B5A" w:rsidR="00CB60FA" w:rsidP="007E3B5A" w:rsidRDefault="00CB60FA" w14:paraId="23D2AAC5" w14:textId="03048D19">
      <w:pPr>
        <w:spacing w:before="100" w:beforeAutospacing="1"/>
        <w:rPr>
          <w:b/>
          <w:bCs/>
          <w:shd w:val="clear" w:color="auto" w:fill="FFFFFF"/>
        </w:rPr>
      </w:pPr>
      <w:r w:rsidRPr="007E3B5A">
        <w:rPr>
          <w:b/>
          <w:bCs/>
          <w:shd w:val="clear" w:color="auto" w:fill="FFFFFF"/>
        </w:rPr>
        <w:t xml:space="preserve">A population health approach </w:t>
      </w:r>
    </w:p>
    <w:p w:rsidRPr="007E3B5A" w:rsidR="005B5650" w:rsidP="007E3B5A" w:rsidRDefault="005B5650" w14:paraId="7192488A" w14:textId="77777777">
      <w:pPr>
        <w:spacing w:before="100" w:beforeAutospacing="1"/>
        <w:rPr>
          <w:rFonts w:eastAsia="Times New Roman"/>
          <w:lang w:eastAsia="en-GB"/>
        </w:rPr>
      </w:pPr>
      <w:r w:rsidRPr="007E3B5A">
        <w:rPr>
          <w:rFonts w:eastAsia="Times New Roman"/>
          <w:lang w:eastAsia="en-GB"/>
        </w:rPr>
        <w:t>A population health approach was used to characterise the population of patients being referred with post COVID-19 syndrome, including demographics, biomedical markers, health interventions received and outcomes.</w:t>
      </w:r>
    </w:p>
    <w:p w:rsidRPr="007E3B5A" w:rsidR="005B5650" w:rsidP="007E3B5A" w:rsidRDefault="005B5650" w14:paraId="13F5DC55" w14:textId="77777777">
      <w:pPr>
        <w:spacing w:before="100" w:beforeAutospacing="1"/>
        <w:rPr>
          <w:rFonts w:eastAsia="Times New Roman"/>
          <w:lang w:eastAsia="en-GB"/>
        </w:rPr>
      </w:pPr>
      <w:r w:rsidRPr="007E3B5A">
        <w:rPr>
          <w:rFonts w:eastAsia="Times New Roman"/>
          <w:lang w:eastAsia="en-GB"/>
        </w:rPr>
        <w:t>This highlighted a wide range of health needs in these patients, affecting their ability to work and undertake usual activities of living. It identified the need for additional healthcare, as well as support with wider socioeconomic issues affecting their health.</w:t>
      </w:r>
    </w:p>
    <w:p w:rsidRPr="007E3B5A" w:rsidR="005B5650" w:rsidP="007E3B5A" w:rsidRDefault="005B5650" w14:paraId="4CAE41E1" w14:textId="0B17843D">
      <w:pPr>
        <w:spacing w:before="100" w:beforeAutospacing="1"/>
        <w:rPr>
          <w:rFonts w:eastAsia="Times New Roman"/>
          <w:b/>
          <w:bCs/>
          <w:lang w:eastAsia="en-GB"/>
        </w:rPr>
      </w:pPr>
      <w:r w:rsidRPr="007E3B5A">
        <w:rPr>
          <w:rFonts w:eastAsia="Times New Roman"/>
          <w:b/>
          <w:bCs/>
          <w:lang w:eastAsia="en-GB"/>
        </w:rPr>
        <w:t>Results</w:t>
      </w:r>
    </w:p>
    <w:p w:rsidRPr="007E3B5A" w:rsidR="005B5650" w:rsidP="007E3B5A" w:rsidRDefault="005A0BB6" w14:paraId="3D704352" w14:textId="45472AC2">
      <w:pPr>
        <w:spacing w:before="100" w:beforeAutospacing="1"/>
        <w:rPr>
          <w:rFonts w:eastAsia="Times New Roman"/>
          <w:lang w:eastAsia="en-GB"/>
        </w:rPr>
      </w:pPr>
      <w:r w:rsidRPr="007E3B5A">
        <w:rPr>
          <w:rFonts w:eastAsia="Times New Roman"/>
          <w:lang w:eastAsia="en-GB"/>
        </w:rPr>
        <w:t>A multi-professional, multi-sector working group was established to develop and launch a specialised post COVID-19 multidisciplinary assessment clinic and rehabilitation pathway. The resulting service is a holistic, integrated service that aims to investigate and manage symptoms and facilitate the rehabilitation of patients.</w:t>
      </w:r>
    </w:p>
    <w:p w:rsidRPr="007E3B5A" w:rsidR="005A0BB6" w:rsidP="007E3B5A" w:rsidRDefault="005A0BB6" w14:paraId="6EAED8E8" w14:textId="43B5C75A">
      <w:pPr>
        <w:spacing w:before="100" w:beforeAutospacing="1"/>
        <w:rPr>
          <w:rFonts w:eastAsia="Times New Roman"/>
          <w:b/>
          <w:bCs/>
          <w:lang w:eastAsia="en-GB"/>
        </w:rPr>
      </w:pPr>
      <w:r w:rsidRPr="007E3B5A">
        <w:rPr>
          <w:rFonts w:eastAsia="Times New Roman"/>
          <w:b/>
          <w:bCs/>
          <w:lang w:eastAsia="en-GB"/>
        </w:rPr>
        <w:t xml:space="preserve">Impact </w:t>
      </w:r>
    </w:p>
    <w:p w:rsidRPr="007E3B5A" w:rsidR="005A0BB6" w:rsidP="007E3B5A" w:rsidRDefault="005A0BB6" w14:paraId="32969C64" w14:textId="084D98C0">
      <w:pPr>
        <w:spacing w:before="100" w:beforeAutospacing="1"/>
        <w:rPr>
          <w:rFonts w:eastAsia="Times New Roman"/>
          <w:lang w:eastAsia="en-GB"/>
        </w:rPr>
      </w:pPr>
      <w:r w:rsidRPr="007E3B5A">
        <w:rPr>
          <w:rFonts w:eastAsia="Times New Roman"/>
          <w:lang w:eastAsia="en-GB"/>
        </w:rPr>
        <w:t xml:space="preserve">The impact of the post COVID-19 pathway is awaited. Research avenues have </w:t>
      </w:r>
      <w:proofErr w:type="gramStart"/>
      <w:r w:rsidRPr="007E3B5A">
        <w:rPr>
          <w:rFonts w:eastAsia="Times New Roman"/>
          <w:lang w:eastAsia="en-GB"/>
        </w:rPr>
        <w:t>opened up</w:t>
      </w:r>
      <w:proofErr w:type="gramEnd"/>
      <w:r w:rsidRPr="007E3B5A">
        <w:rPr>
          <w:rFonts w:eastAsia="Times New Roman"/>
          <w:lang w:eastAsia="en-GB"/>
        </w:rPr>
        <w:t xml:space="preserve"> and resulted in a large grant application investigating outcome measures for post COVID-19 rehabilitation. The initial analysis work characterising patients referred to the service is now being submitted for publication.</w:t>
      </w:r>
    </w:p>
    <w:p w:rsidR="001B004D" w:rsidP="00C23937" w:rsidRDefault="001B004D" w14:paraId="3F210A44" w14:textId="77777777">
      <w:pPr>
        <w:spacing w:before="100" w:beforeAutospacing="1"/>
        <w:rPr>
          <w:rFonts w:asciiTheme="minorHAnsi" w:hAnsiTheme="minorHAnsi" w:cstheme="minorHAnsi"/>
          <w:b/>
          <w:bCs/>
          <w:u w:val="single"/>
        </w:rPr>
      </w:pPr>
    </w:p>
    <w:p w:rsidRPr="001B004D" w:rsidR="005B5650" w:rsidP="00C23937" w:rsidRDefault="002C7B55" w14:paraId="1B2C4B9A" w14:textId="5BED7151">
      <w:pPr>
        <w:spacing w:before="100" w:beforeAutospacing="1"/>
        <w:rPr>
          <w:rFonts w:asciiTheme="minorHAnsi" w:hAnsiTheme="minorHAnsi" w:cstheme="minorHAnsi"/>
          <w:b/>
          <w:bCs/>
          <w:u w:val="single"/>
        </w:rPr>
      </w:pPr>
      <w:r w:rsidRPr="001B004D">
        <w:rPr>
          <w:rFonts w:asciiTheme="minorHAnsi" w:hAnsiTheme="minorHAnsi" w:cstheme="minorHAnsi"/>
          <w:b/>
          <w:bCs/>
          <w:u w:val="single"/>
        </w:rPr>
        <w:t>Project 3</w:t>
      </w:r>
      <w:r w:rsidRPr="001B004D" w:rsidR="00E63ADB">
        <w:rPr>
          <w:rFonts w:asciiTheme="minorHAnsi" w:hAnsiTheme="minorHAnsi" w:cstheme="minorHAnsi"/>
          <w:b/>
          <w:bCs/>
          <w:u w:val="single"/>
        </w:rPr>
        <w:t xml:space="preserve">: A volunteer-lead </w:t>
      </w:r>
      <w:r w:rsidRPr="001B004D" w:rsidR="005A5967">
        <w:rPr>
          <w:rFonts w:asciiTheme="minorHAnsi" w:hAnsiTheme="minorHAnsi" w:cstheme="minorHAnsi"/>
          <w:b/>
          <w:bCs/>
          <w:u w:val="single"/>
        </w:rPr>
        <w:t xml:space="preserve">service to improve equality of access for remote outpatient appointments </w:t>
      </w:r>
    </w:p>
    <w:p w:rsidRPr="007E3B5A" w:rsidR="005A5967" w:rsidP="00C23937" w:rsidRDefault="00830961" w14:paraId="2BDCAF1F" w14:textId="58A021CE">
      <w:pPr>
        <w:spacing w:before="100" w:beforeAutospacing="1"/>
        <w:rPr>
          <w:rFonts w:asciiTheme="minorHAnsi" w:hAnsiTheme="minorHAnsi" w:cstheme="minorHAnsi"/>
          <w:b/>
          <w:bCs/>
        </w:rPr>
      </w:pPr>
      <w:r w:rsidRPr="007E3B5A">
        <w:rPr>
          <w:rFonts w:asciiTheme="minorHAnsi" w:hAnsiTheme="minorHAnsi" w:cstheme="minorHAnsi"/>
          <w:b/>
          <w:bCs/>
        </w:rPr>
        <w:t>The Situation</w:t>
      </w:r>
    </w:p>
    <w:p w:rsidRPr="007E3B5A" w:rsidR="005B5650" w:rsidP="00C23937" w:rsidRDefault="00830961" w14:paraId="394F5F00" w14:textId="2BDA96D7">
      <w:pPr>
        <w:spacing w:before="100" w:beforeAutospacing="1"/>
        <w:rPr>
          <w:rFonts w:asciiTheme="minorHAnsi" w:hAnsiTheme="minorHAnsi" w:cstheme="minorHAnsi"/>
          <w:shd w:val="clear" w:color="auto" w:fill="FFFFFF"/>
        </w:rPr>
      </w:pPr>
      <w:r w:rsidRPr="007E3B5A">
        <w:rPr>
          <w:rFonts w:asciiTheme="minorHAnsi" w:hAnsiTheme="minorHAnsi" w:cstheme="minorHAnsi"/>
          <w:shd w:val="clear" w:color="auto" w:fill="FFFFFF"/>
        </w:rPr>
        <w:t>As part of the COVID-19 response, a large proportion of outpatient appointments moved from face-to-face to telephone and video appointments. While there were many positive impacts of this change, did not attend (DNA) rates were high and there were concerns about digital inclusion, questioning whether the change was negatively impacting on equity of access.</w:t>
      </w:r>
    </w:p>
    <w:p w:rsidRPr="007E3B5A" w:rsidR="00830961" w:rsidP="00C23937" w:rsidRDefault="00830961" w14:paraId="0D2AEC5F" w14:textId="04574994">
      <w:pPr>
        <w:spacing w:before="100" w:beforeAutospacing="1"/>
        <w:rPr>
          <w:rFonts w:asciiTheme="minorHAnsi" w:hAnsiTheme="minorHAnsi" w:cstheme="minorHAnsi"/>
          <w:b/>
          <w:bCs/>
          <w:shd w:val="clear" w:color="auto" w:fill="FFFFFF"/>
        </w:rPr>
      </w:pPr>
      <w:r w:rsidRPr="007E3B5A">
        <w:rPr>
          <w:rFonts w:asciiTheme="minorHAnsi" w:hAnsiTheme="minorHAnsi" w:cstheme="minorHAnsi"/>
          <w:b/>
          <w:bCs/>
          <w:shd w:val="clear" w:color="auto" w:fill="FFFFFF"/>
        </w:rPr>
        <w:t>A population health approach</w:t>
      </w:r>
    </w:p>
    <w:p w:rsidRPr="007E3B5A" w:rsidR="003832B1" w:rsidP="00C23937" w:rsidRDefault="003832B1" w14:paraId="04DF93C6" w14:textId="77777777">
      <w:pPr>
        <w:spacing w:before="100" w:beforeAutospacing="1"/>
        <w:rPr>
          <w:rFonts w:eastAsia="Times New Roman" w:asciiTheme="minorHAnsi" w:hAnsiTheme="minorHAnsi" w:cstheme="minorHAnsi"/>
          <w:lang w:eastAsia="en-GB"/>
        </w:rPr>
      </w:pPr>
      <w:r w:rsidRPr="007E3B5A">
        <w:rPr>
          <w:rFonts w:eastAsia="Times New Roman" w:asciiTheme="minorHAnsi" w:hAnsiTheme="minorHAnsi" w:cstheme="minorHAnsi"/>
          <w:lang w:eastAsia="en-GB"/>
        </w:rPr>
        <w:t>Analysis of DNA rates showed variation by ethnicity and deprivation. A pilot was undertaken using volunteers to support patients to attend virtual appointments, between January 2021 and March 2021.</w:t>
      </w:r>
    </w:p>
    <w:p w:rsidRPr="007E3B5A" w:rsidR="003832B1" w:rsidP="00C23937" w:rsidRDefault="003832B1" w14:paraId="1034C0F0" w14:textId="77777777">
      <w:pPr>
        <w:spacing w:before="100" w:beforeAutospacing="1"/>
        <w:rPr>
          <w:rFonts w:eastAsia="Times New Roman" w:asciiTheme="minorHAnsi" w:hAnsiTheme="minorHAnsi" w:cstheme="minorHAnsi"/>
          <w:lang w:eastAsia="en-GB"/>
        </w:rPr>
      </w:pPr>
      <w:r w:rsidRPr="007E3B5A">
        <w:rPr>
          <w:rFonts w:eastAsia="Times New Roman" w:asciiTheme="minorHAnsi" w:hAnsiTheme="minorHAnsi" w:cstheme="minorHAnsi"/>
          <w:lang w:eastAsia="en-GB"/>
        </w:rPr>
        <w:t xml:space="preserve">Volunteer-led pre-appointment calls offered a reminder and infection control measures for those with face-to-face clinics. It also enabled those who required digital support to attend video </w:t>
      </w:r>
      <w:r w:rsidRPr="007E3B5A">
        <w:rPr>
          <w:rFonts w:eastAsia="Times New Roman" w:asciiTheme="minorHAnsi" w:hAnsiTheme="minorHAnsi" w:cstheme="minorHAnsi"/>
          <w:lang w:eastAsia="en-GB"/>
        </w:rPr>
        <w:t>appointments to be identified and offered support. Volunteers made 400 pre-appointment calls during the pilot period.</w:t>
      </w:r>
    </w:p>
    <w:p w:rsidRPr="007E3B5A" w:rsidR="003832B1" w:rsidP="00C23937" w:rsidRDefault="003832B1" w14:paraId="02DD5F81" w14:textId="4B248D45">
      <w:pPr>
        <w:spacing w:before="100" w:beforeAutospacing="1"/>
        <w:rPr>
          <w:rFonts w:asciiTheme="minorHAnsi" w:hAnsiTheme="minorHAnsi" w:cstheme="minorHAnsi"/>
          <w:b/>
          <w:bCs/>
        </w:rPr>
      </w:pPr>
      <w:r w:rsidRPr="007E3B5A">
        <w:rPr>
          <w:rFonts w:asciiTheme="minorHAnsi" w:hAnsiTheme="minorHAnsi" w:cstheme="minorHAnsi"/>
          <w:b/>
          <w:bCs/>
        </w:rPr>
        <w:t xml:space="preserve">Results </w:t>
      </w:r>
    </w:p>
    <w:p w:rsidRPr="007E3B5A" w:rsidR="00C23937" w:rsidP="00C23937" w:rsidRDefault="00C23937" w14:paraId="031949DE" w14:textId="77777777">
      <w:pPr>
        <w:spacing w:before="100" w:beforeAutospacing="1"/>
        <w:rPr>
          <w:rFonts w:eastAsia="Times New Roman" w:asciiTheme="minorHAnsi" w:hAnsiTheme="minorHAnsi" w:cstheme="minorHAnsi"/>
          <w:lang w:eastAsia="en-GB"/>
        </w:rPr>
      </w:pPr>
      <w:r w:rsidRPr="007E3B5A">
        <w:rPr>
          <w:rFonts w:eastAsia="Times New Roman" w:asciiTheme="minorHAnsi" w:hAnsiTheme="minorHAnsi" w:cstheme="minorHAnsi"/>
          <w:lang w:eastAsia="en-GB"/>
        </w:rPr>
        <w:t xml:space="preserve">The pilot identified that a key driver of DNA rates was incorrect patient contact details or the inability to </w:t>
      </w:r>
      <w:proofErr w:type="gramStart"/>
      <w:r w:rsidRPr="007E3B5A">
        <w:rPr>
          <w:rFonts w:eastAsia="Times New Roman" w:asciiTheme="minorHAnsi" w:hAnsiTheme="minorHAnsi" w:cstheme="minorHAnsi"/>
          <w:lang w:eastAsia="en-GB"/>
        </w:rPr>
        <w:t>make contact with</w:t>
      </w:r>
      <w:proofErr w:type="gramEnd"/>
      <w:r w:rsidRPr="007E3B5A">
        <w:rPr>
          <w:rFonts w:eastAsia="Times New Roman" w:asciiTheme="minorHAnsi" w:hAnsiTheme="minorHAnsi" w:cstheme="minorHAnsi"/>
          <w:lang w:eastAsia="en-GB"/>
        </w:rPr>
        <w:t xml:space="preserve"> patients, or both. Of those patients successfully contacted, 20% required some form of support, including assistance to reschedule their appointment, some training and practise to access the video platform.</w:t>
      </w:r>
    </w:p>
    <w:p w:rsidRPr="007E3B5A" w:rsidR="00C23937" w:rsidP="00C23937" w:rsidRDefault="00C23937" w14:paraId="7C337D58" w14:textId="77777777">
      <w:pPr>
        <w:spacing w:before="100" w:beforeAutospacing="1"/>
        <w:rPr>
          <w:rFonts w:eastAsia="Times New Roman" w:asciiTheme="minorHAnsi" w:hAnsiTheme="minorHAnsi" w:cstheme="minorHAnsi"/>
          <w:lang w:eastAsia="en-GB"/>
        </w:rPr>
      </w:pPr>
      <w:r w:rsidRPr="007E3B5A">
        <w:rPr>
          <w:rFonts w:eastAsia="Times New Roman" w:asciiTheme="minorHAnsi" w:hAnsiTheme="minorHAnsi" w:cstheme="minorHAnsi"/>
          <w:lang w:eastAsia="en-GB"/>
        </w:rPr>
        <w:t>Whilst the pilot was not able to demonstrate a reduction in inequalities, information about the key drivers of DNA rates enabled interventions to be targeted to those with greatest need.</w:t>
      </w:r>
    </w:p>
    <w:p w:rsidR="00B83087" w:rsidP="00B83087" w:rsidRDefault="00B83087" w14:paraId="498F3C80" w14:textId="77777777">
      <w:pPr>
        <w:rPr>
          <w:rFonts w:cs="Arial"/>
          <w:spacing w:val="-15"/>
        </w:rPr>
      </w:pPr>
    </w:p>
    <w:p w:rsidR="000C2D2B" w:rsidP="00B83087" w:rsidRDefault="000C2D2B" w14:paraId="4F545CA6" w14:textId="77777777">
      <w:pPr>
        <w:rPr>
          <w:rFonts w:cs="Arial"/>
          <w:b/>
          <w:bCs/>
          <w:u w:val="single"/>
        </w:rPr>
      </w:pPr>
    </w:p>
    <w:p w:rsidRPr="000C2D2B" w:rsidR="00790075" w:rsidP="00B83087" w:rsidRDefault="00790075" w14:paraId="581EA096" w14:textId="0BEAF20C">
      <w:pPr>
        <w:rPr>
          <w:rFonts w:cs="Arial"/>
          <w:b/>
          <w:bCs/>
          <w:u w:val="single"/>
        </w:rPr>
      </w:pPr>
      <w:r w:rsidRPr="000C2D2B">
        <w:rPr>
          <w:rFonts w:cs="Arial"/>
          <w:b/>
          <w:bCs/>
          <w:u w:val="single"/>
        </w:rPr>
        <w:t xml:space="preserve">Project 4: </w:t>
      </w:r>
      <w:r w:rsidRPr="000C2D2B" w:rsidR="004B6941">
        <w:rPr>
          <w:rFonts w:cs="Arial"/>
          <w:b/>
          <w:bCs/>
          <w:u w:val="single"/>
        </w:rPr>
        <w:t>Medicines management of mental illness in pregnancy</w:t>
      </w:r>
    </w:p>
    <w:p w:rsidRPr="007E3B5A" w:rsidR="004B6941" w:rsidP="007E3B5A" w:rsidRDefault="004B6941" w14:paraId="4F0CEF4D" w14:textId="256D989C">
      <w:pPr>
        <w:spacing w:before="100" w:beforeAutospacing="1"/>
        <w:rPr>
          <w:rFonts w:cs="Arial"/>
          <w:b/>
          <w:bCs/>
        </w:rPr>
      </w:pPr>
      <w:r w:rsidRPr="007E3B5A">
        <w:rPr>
          <w:rFonts w:cs="Arial"/>
          <w:b/>
          <w:bCs/>
        </w:rPr>
        <w:t>The situation</w:t>
      </w:r>
    </w:p>
    <w:p w:rsidRPr="007E3B5A" w:rsidR="00BA404C" w:rsidP="007E3B5A" w:rsidRDefault="00BA404C" w14:paraId="05706C5D" w14:textId="77777777">
      <w:pPr>
        <w:spacing w:before="100" w:beforeAutospacing="1"/>
        <w:rPr>
          <w:rFonts w:eastAsia="Times New Roman" w:cs="Arial"/>
          <w:lang w:eastAsia="en-GB"/>
        </w:rPr>
      </w:pPr>
      <w:r w:rsidRPr="007E3B5A">
        <w:rPr>
          <w:rFonts w:eastAsia="Times New Roman" w:cs="Arial"/>
          <w:lang w:eastAsia="en-GB"/>
        </w:rPr>
        <w:t>Perinatal mental health problems affect between 10% and 20% of women. Data from a population health management tool showed that 66% of women in a London borough stopped their antipsychotic or antidepressant medication in the 1st trimester of pregnancy. Many women later became unwell.</w:t>
      </w:r>
    </w:p>
    <w:p w:rsidRPr="007E3B5A" w:rsidR="00BA404C" w:rsidP="007E3B5A" w:rsidRDefault="00BA404C" w14:paraId="44F9CD94" w14:textId="77777777">
      <w:pPr>
        <w:spacing w:before="100" w:beforeAutospacing="1"/>
        <w:rPr>
          <w:rFonts w:eastAsia="Times New Roman" w:cs="Arial"/>
          <w:lang w:eastAsia="en-GB"/>
        </w:rPr>
      </w:pPr>
      <w:r w:rsidRPr="007E3B5A">
        <w:rPr>
          <w:rFonts w:eastAsia="Times New Roman" w:cs="Arial"/>
          <w:lang w:eastAsia="en-GB"/>
        </w:rPr>
        <w:t>Feedback suggested that both women and health professionals were confused about mental health medication advice for pregnant women. </w:t>
      </w:r>
    </w:p>
    <w:p w:rsidRPr="007E3B5A" w:rsidR="004B6941" w:rsidP="007E3B5A" w:rsidRDefault="004B6941" w14:paraId="6A55C3BB" w14:textId="0288DA57">
      <w:pPr>
        <w:spacing w:before="100" w:beforeAutospacing="1"/>
        <w:rPr>
          <w:rFonts w:cs="Arial"/>
          <w:b/>
          <w:bCs/>
        </w:rPr>
      </w:pPr>
      <w:r w:rsidRPr="007E3B5A">
        <w:rPr>
          <w:rFonts w:cs="Arial"/>
          <w:b/>
          <w:bCs/>
        </w:rPr>
        <w:t xml:space="preserve">A population health approach </w:t>
      </w:r>
    </w:p>
    <w:p w:rsidRPr="007E3B5A" w:rsidR="004B6941" w:rsidP="007E3B5A" w:rsidRDefault="00BA404C" w14:paraId="6FFCBFE6" w14:textId="7BEC6565">
      <w:pPr>
        <w:spacing w:before="100" w:beforeAutospacing="1"/>
        <w:rPr>
          <w:rFonts w:cs="Arial"/>
        </w:rPr>
      </w:pPr>
      <w:r w:rsidRPr="007E3B5A">
        <w:rPr>
          <w:rFonts w:cs="Arial"/>
          <w:shd w:val="clear" w:color="auto" w:fill="FFFFFF"/>
        </w:rPr>
        <w:t xml:space="preserve">A multidisciplinary team of a GP, midwife, health visitor, psychiatrist and pharmacist came together to address this issue. They reviewed the evidence base for antidepressant and antipsychotic medications in pregnancy; conducted a survey of GPs, </w:t>
      </w:r>
      <w:proofErr w:type="gramStart"/>
      <w:r w:rsidRPr="007E3B5A">
        <w:rPr>
          <w:rFonts w:cs="Arial"/>
          <w:shd w:val="clear" w:color="auto" w:fill="FFFFFF"/>
        </w:rPr>
        <w:t>midwives</w:t>
      </w:r>
      <w:proofErr w:type="gramEnd"/>
      <w:r w:rsidRPr="007E3B5A">
        <w:rPr>
          <w:rFonts w:cs="Arial"/>
          <w:shd w:val="clear" w:color="auto" w:fill="FFFFFF"/>
        </w:rPr>
        <w:t xml:space="preserve"> and health visitors to understand their perspectives and worked with a 3rd sector organisation to gain insight into pregnant women’s knowledge, feelings and concerns.  </w:t>
      </w:r>
    </w:p>
    <w:p w:rsidRPr="007E3B5A" w:rsidR="004B6941" w:rsidP="007E3B5A" w:rsidRDefault="004B6941" w14:paraId="0BCF7586" w14:textId="0C3AD1C5">
      <w:pPr>
        <w:spacing w:before="100" w:beforeAutospacing="1"/>
        <w:rPr>
          <w:rFonts w:cs="Arial"/>
          <w:b/>
          <w:bCs/>
        </w:rPr>
      </w:pPr>
      <w:r w:rsidRPr="007E3B5A">
        <w:rPr>
          <w:rFonts w:cs="Arial"/>
          <w:b/>
          <w:bCs/>
        </w:rPr>
        <w:t>Results</w:t>
      </w:r>
    </w:p>
    <w:p w:rsidRPr="007E3B5A" w:rsidR="007E3B5A" w:rsidP="007E3B5A" w:rsidRDefault="007E3B5A" w14:paraId="6EF499A1" w14:textId="77777777">
      <w:pPr>
        <w:spacing w:before="100" w:beforeAutospacing="1"/>
        <w:rPr>
          <w:rFonts w:eastAsia="Times New Roman" w:cs="Arial"/>
          <w:lang w:eastAsia="en-GB"/>
        </w:rPr>
      </w:pPr>
      <w:r w:rsidRPr="007E3B5A">
        <w:rPr>
          <w:rFonts w:eastAsia="Times New Roman" w:cs="Arial"/>
          <w:lang w:eastAsia="en-GB"/>
        </w:rPr>
        <w:t>This information was brought together to create an interactive, evidence-based decision-making toolkit that would be made available to all pregnant women and healthcare professionals in the area’s primary care networks (PCNs).</w:t>
      </w:r>
    </w:p>
    <w:p w:rsidRPr="007E3B5A" w:rsidR="007E3B5A" w:rsidP="007E3B5A" w:rsidRDefault="007E3B5A" w14:paraId="38B6B218" w14:textId="77777777">
      <w:pPr>
        <w:spacing w:before="100" w:beforeAutospacing="1"/>
        <w:rPr>
          <w:rFonts w:eastAsia="Times New Roman" w:cs="Arial"/>
          <w:lang w:eastAsia="en-GB"/>
        </w:rPr>
      </w:pPr>
      <w:r w:rsidRPr="007E3B5A">
        <w:rPr>
          <w:rFonts w:eastAsia="Times New Roman" w:cs="Arial"/>
          <w:lang w:eastAsia="en-GB"/>
        </w:rPr>
        <w:t>The tool is available as an interactive pdf and poster and includes links to the evidence base, self-help support and helplines. The health professional’s toolkit gives a link to local perinatal mental health teams, which aims to speed up referral time and offer pharmacological advice.</w:t>
      </w:r>
    </w:p>
    <w:p w:rsidRPr="007E3B5A" w:rsidR="004B6941" w:rsidP="007E3B5A" w:rsidRDefault="004B6941" w14:paraId="32259361" w14:textId="56E5D2C5">
      <w:pPr>
        <w:spacing w:before="100" w:beforeAutospacing="1"/>
        <w:rPr>
          <w:rFonts w:cs="Arial"/>
          <w:b/>
          <w:bCs/>
        </w:rPr>
      </w:pPr>
      <w:r w:rsidRPr="007E3B5A">
        <w:rPr>
          <w:rFonts w:cs="Arial"/>
          <w:b/>
          <w:bCs/>
        </w:rPr>
        <w:t xml:space="preserve">Impact </w:t>
      </w:r>
    </w:p>
    <w:p w:rsidRPr="007E3B5A" w:rsidR="00CB60FA" w:rsidP="007E3B5A" w:rsidRDefault="007E3B5A" w14:paraId="68B95759" w14:textId="43C5A78A">
      <w:pPr>
        <w:spacing w:before="100" w:beforeAutospacing="1"/>
        <w:rPr>
          <w:rFonts w:cs="Arial"/>
          <w:b/>
          <w:bCs/>
        </w:rPr>
      </w:pPr>
      <w:r w:rsidRPr="007E3B5A">
        <w:rPr>
          <w:rFonts w:cs="Arial"/>
          <w:shd w:val="clear" w:color="auto" w:fill="FFFFFF"/>
        </w:rPr>
        <w:t>The tool will be evaluated through a maternal health dashboard available through the population health management tool. Women’s and GP’s views will also be captured, to ascertain changes in confidence with respect to decision-making about medication use during pregnancy.</w:t>
      </w:r>
    </w:p>
    <w:p w:rsidRPr="002C7B55" w:rsidR="001015E4" w:rsidP="00304179" w:rsidRDefault="001015E4" w14:paraId="4EE64933" w14:textId="77777777">
      <w:pPr>
        <w:rPr>
          <w:rFonts w:cs="Arial"/>
          <w:b/>
          <w:bCs/>
        </w:rPr>
      </w:pPr>
    </w:p>
    <w:p w:rsidRPr="002C7B55" w:rsidR="001015E4" w:rsidP="00304179" w:rsidRDefault="001015E4" w14:paraId="03974F4E" w14:textId="77777777">
      <w:pPr>
        <w:rPr>
          <w:rFonts w:cs="Arial"/>
          <w:b/>
          <w:bCs/>
        </w:rPr>
      </w:pPr>
    </w:p>
    <w:p w:rsidRPr="00845B6C" w:rsidR="00444B8E" w:rsidP="00304179" w:rsidRDefault="00444B8E" w14:paraId="071391A4" w14:textId="73930802">
      <w:pPr>
        <w:rPr>
          <w:rFonts w:cs="Arial"/>
          <w:b/>
        </w:rPr>
        <w:sectPr w:rsidRPr="00845B6C" w:rsidR="00444B8E" w:rsidSect="00864D69">
          <w:pgSz w:w="11900" w:h="16840" w:orient="portrait"/>
          <w:pgMar w:top="1134" w:right="851" w:bottom="1134" w:left="851" w:header="567" w:footer="567" w:gutter="0"/>
          <w:cols w:space="708"/>
          <w:titlePg/>
          <w:docGrid w:linePitch="360"/>
        </w:sectPr>
      </w:pPr>
    </w:p>
    <w:p w:rsidR="004D7A1E" w:rsidP="004D7A1E" w:rsidRDefault="004D7A1E" w14:paraId="0866EFEB" w14:textId="77777777">
      <w:pPr>
        <w:pStyle w:val="Heading1"/>
        <w:spacing w:before="0"/>
      </w:pPr>
    </w:p>
    <w:p w:rsidRPr="00663992" w:rsidR="004D7A1E" w:rsidP="004D7A1E" w:rsidRDefault="004D7A1E" w14:paraId="18014A07" w14:textId="1B4B9AA1">
      <w:pPr>
        <w:pStyle w:val="Heading1"/>
        <w:rPr>
          <w:color w:val="004689" w:themeColor="text1" w:themeShade="BF"/>
        </w:rPr>
      </w:pPr>
      <w:bookmarkStart w:name="_Toc86227536" w:id="23"/>
      <w:r w:rsidRPr="00663992">
        <w:rPr>
          <w:color w:val="004689" w:themeColor="text1" w:themeShade="BF"/>
        </w:rPr>
        <w:t xml:space="preserve">Appendix 3: aims and competencies to be </w:t>
      </w:r>
      <w:proofErr w:type="gramStart"/>
      <w:r w:rsidRPr="00663992">
        <w:rPr>
          <w:color w:val="004689" w:themeColor="text1" w:themeShade="BF"/>
        </w:rPr>
        <w:t>achieved</w:t>
      </w:r>
      <w:bookmarkEnd w:id="23"/>
      <w:proofErr w:type="gramEnd"/>
    </w:p>
    <w:p w:rsidR="004D7A1E" w:rsidP="004D7A1E" w:rsidRDefault="004D7A1E" w14:paraId="04819F53" w14:textId="4459C99B">
      <w:pPr>
        <w:pStyle w:val="BodyText"/>
        <w:spacing w:line="243" w:lineRule="auto"/>
        <w:ind w:left="0" w:right="136"/>
      </w:pPr>
      <w:r>
        <w:t xml:space="preserve">The </w:t>
      </w:r>
      <w:r w:rsidR="00B95D30">
        <w:t>fellowship</w:t>
      </w:r>
      <w:r>
        <w:t xml:space="preserve"> has been designed to encourage and support you to develop competencies that will enable you to incorporate population health in your local work systems to improve patient outcomes. </w:t>
      </w:r>
      <w:r>
        <w:rPr>
          <w:spacing w:val="11"/>
        </w:rPr>
        <w:t>F</w:t>
      </w:r>
      <w:r>
        <w:rPr>
          <w:spacing w:val="1"/>
        </w:rPr>
        <w:t>e</w:t>
      </w:r>
      <w:r>
        <w:t>l</w:t>
      </w:r>
      <w:r>
        <w:rPr>
          <w:spacing w:val="-1"/>
        </w:rPr>
        <w:t>l</w:t>
      </w:r>
      <w:r>
        <w:t>ows sh</w:t>
      </w:r>
      <w:r>
        <w:rPr>
          <w:spacing w:val="-2"/>
        </w:rPr>
        <w:t>o</w:t>
      </w:r>
      <w:r>
        <w:t>uld dis</w:t>
      </w:r>
      <w:r>
        <w:rPr>
          <w:spacing w:val="-3"/>
        </w:rPr>
        <w:t>c</w:t>
      </w:r>
      <w:r>
        <w:t>u</w:t>
      </w:r>
      <w:r>
        <w:rPr>
          <w:spacing w:val="2"/>
        </w:rPr>
        <w:t>s</w:t>
      </w:r>
      <w:r>
        <w:t>s</w:t>
      </w:r>
      <w:r>
        <w:rPr>
          <w:spacing w:val="-2"/>
        </w:rPr>
        <w:t xml:space="preserve"> </w:t>
      </w:r>
      <w:r>
        <w:t>le</w:t>
      </w:r>
      <w:r>
        <w:rPr>
          <w:spacing w:val="1"/>
        </w:rPr>
        <w:t>a</w:t>
      </w:r>
      <w:r>
        <w:t>rning</w:t>
      </w:r>
      <w:r>
        <w:rPr>
          <w:spacing w:val="-2"/>
        </w:rPr>
        <w:t xml:space="preserve"> </w:t>
      </w:r>
      <w:r>
        <w:t>from</w:t>
      </w:r>
      <w:r>
        <w:rPr>
          <w:spacing w:val="-1"/>
        </w:rPr>
        <w:t xml:space="preserve"> </w:t>
      </w:r>
      <w:r>
        <w:t xml:space="preserve">this </w:t>
      </w:r>
      <w:r>
        <w:rPr>
          <w:spacing w:val="-2"/>
        </w:rPr>
        <w:t>f</w:t>
      </w:r>
      <w:r>
        <w:t>el</w:t>
      </w:r>
      <w:r>
        <w:rPr>
          <w:spacing w:val="-1"/>
        </w:rPr>
        <w:t>l</w:t>
      </w:r>
      <w:r>
        <w:rPr>
          <w:spacing w:val="-2"/>
        </w:rPr>
        <w:t>o</w:t>
      </w:r>
      <w:r>
        <w:t xml:space="preserve">wship in </w:t>
      </w:r>
      <w:r>
        <w:rPr>
          <w:spacing w:val="-2"/>
        </w:rPr>
        <w:t>t</w:t>
      </w:r>
      <w:r>
        <w:t>heir</w:t>
      </w:r>
      <w:r>
        <w:rPr>
          <w:spacing w:val="-2"/>
        </w:rPr>
        <w:t xml:space="preserve"> </w:t>
      </w:r>
      <w:r>
        <w:rPr>
          <w:spacing w:val="1"/>
        </w:rPr>
        <w:t>a</w:t>
      </w:r>
      <w:r>
        <w:rPr>
          <w:spacing w:val="-2"/>
        </w:rPr>
        <w:t>n</w:t>
      </w:r>
      <w:r>
        <w:t>nual</w:t>
      </w:r>
      <w:r>
        <w:rPr>
          <w:spacing w:val="-3"/>
        </w:rPr>
        <w:t xml:space="preserve"> </w:t>
      </w:r>
      <w:r>
        <w:rPr>
          <w:spacing w:val="-2"/>
        </w:rPr>
        <w:t>a</w:t>
      </w:r>
      <w:r>
        <w:t>ppraisal w</w:t>
      </w:r>
      <w:r>
        <w:rPr>
          <w:spacing w:val="-1"/>
        </w:rPr>
        <w:t>i</w:t>
      </w:r>
      <w:r>
        <w:t>th</w:t>
      </w:r>
      <w:r>
        <w:rPr>
          <w:spacing w:val="-1"/>
        </w:rPr>
        <w:t xml:space="preserve"> </w:t>
      </w:r>
      <w:r>
        <w:t>t</w:t>
      </w:r>
      <w:r>
        <w:rPr>
          <w:spacing w:val="1"/>
        </w:rPr>
        <w:t>h</w:t>
      </w:r>
      <w:r>
        <w:t>eir subst</w:t>
      </w:r>
      <w:r>
        <w:rPr>
          <w:spacing w:val="-1"/>
        </w:rPr>
        <w:t>a</w:t>
      </w:r>
      <w:r>
        <w:t>ntive</w:t>
      </w:r>
      <w:r>
        <w:rPr>
          <w:spacing w:val="-2"/>
        </w:rPr>
        <w:t xml:space="preserve"> </w:t>
      </w:r>
      <w:r>
        <w:t>e</w:t>
      </w:r>
      <w:r>
        <w:rPr>
          <w:spacing w:val="-1"/>
        </w:rPr>
        <w:t>m</w:t>
      </w:r>
      <w:r>
        <w:t>ploy</w:t>
      </w:r>
      <w:r>
        <w:rPr>
          <w:spacing w:val="1"/>
        </w:rPr>
        <w:t>e</w:t>
      </w:r>
      <w:r>
        <w:t>r.</w:t>
      </w:r>
      <w:r>
        <w:rPr>
          <w:spacing w:val="-3"/>
        </w:rPr>
        <w:t xml:space="preserve"> F</w:t>
      </w:r>
      <w:r>
        <w:rPr>
          <w:spacing w:val="1"/>
        </w:rPr>
        <w:t>e</w:t>
      </w:r>
      <w:r>
        <w:t>l</w:t>
      </w:r>
      <w:r>
        <w:rPr>
          <w:spacing w:val="-1"/>
        </w:rPr>
        <w:t>l</w:t>
      </w:r>
      <w:r>
        <w:t>ows who</w:t>
      </w:r>
      <w:r>
        <w:rPr>
          <w:spacing w:val="-1"/>
        </w:rPr>
        <w:t xml:space="preserve"> </w:t>
      </w:r>
      <w:r>
        <w:t>are doc</w:t>
      </w:r>
      <w:r>
        <w:rPr>
          <w:spacing w:val="-2"/>
        </w:rPr>
        <w:t>t</w:t>
      </w:r>
      <w:r>
        <w:t>or</w:t>
      </w:r>
      <w:r>
        <w:rPr>
          <w:spacing w:val="4"/>
        </w:rPr>
        <w:t>s</w:t>
      </w:r>
      <w:r>
        <w:rPr>
          <w:spacing w:val="-1"/>
        </w:rPr>
        <w:t>-i</w:t>
      </w:r>
      <w:r>
        <w:t>n</w:t>
      </w:r>
      <w:r>
        <w:rPr>
          <w:spacing w:val="-1"/>
        </w:rPr>
        <w:t>-</w:t>
      </w:r>
      <w:r>
        <w:t>training s</w:t>
      </w:r>
      <w:r>
        <w:rPr>
          <w:spacing w:val="-1"/>
        </w:rPr>
        <w:t>h</w:t>
      </w:r>
      <w:r>
        <w:t>ould l</w:t>
      </w:r>
      <w:r>
        <w:rPr>
          <w:spacing w:val="-1"/>
        </w:rPr>
        <w:t>i</w:t>
      </w:r>
      <w:r>
        <w:t>nk</w:t>
      </w:r>
      <w:r>
        <w:rPr>
          <w:spacing w:val="-3"/>
        </w:rPr>
        <w:t xml:space="preserve"> </w:t>
      </w:r>
      <w:r>
        <w:t>t</w:t>
      </w:r>
      <w:r>
        <w:rPr>
          <w:spacing w:val="-2"/>
        </w:rPr>
        <w:t>h</w:t>
      </w:r>
      <w:r>
        <w:t>eir</w:t>
      </w:r>
      <w:r>
        <w:rPr>
          <w:spacing w:val="-2"/>
        </w:rPr>
        <w:t xml:space="preserve"> </w:t>
      </w:r>
      <w:r>
        <w:t>le</w:t>
      </w:r>
      <w:r>
        <w:rPr>
          <w:spacing w:val="-2"/>
        </w:rPr>
        <w:t>a</w:t>
      </w:r>
      <w:r>
        <w:t>rning to</w:t>
      </w:r>
      <w:r>
        <w:rPr>
          <w:spacing w:val="1"/>
        </w:rPr>
        <w:t xml:space="preserve"> </w:t>
      </w:r>
      <w:r>
        <w:t>relev</w:t>
      </w:r>
      <w:r>
        <w:rPr>
          <w:spacing w:val="-1"/>
        </w:rPr>
        <w:t>a</w:t>
      </w:r>
      <w:r>
        <w:t>nt</w:t>
      </w:r>
      <w:r>
        <w:rPr>
          <w:spacing w:val="2"/>
        </w:rPr>
        <w:t xml:space="preserve"> </w:t>
      </w:r>
      <w:r>
        <w:rPr>
          <w:spacing w:val="-3"/>
        </w:rPr>
        <w:t>c</w:t>
      </w:r>
      <w:r>
        <w:t>o</w:t>
      </w:r>
      <w:r>
        <w:rPr>
          <w:spacing w:val="-1"/>
        </w:rPr>
        <w:t>m</w:t>
      </w:r>
      <w:r>
        <w:t>pe</w:t>
      </w:r>
      <w:r>
        <w:rPr>
          <w:spacing w:val="-2"/>
        </w:rPr>
        <w:t>t</w:t>
      </w:r>
      <w:r>
        <w:t>enc</w:t>
      </w:r>
      <w:r>
        <w:rPr>
          <w:spacing w:val="-3"/>
        </w:rPr>
        <w:t>i</w:t>
      </w:r>
      <w:r>
        <w:t>es in</w:t>
      </w:r>
      <w:r>
        <w:rPr>
          <w:spacing w:val="3"/>
        </w:rPr>
        <w:t xml:space="preserve"> </w:t>
      </w:r>
      <w:r>
        <w:rPr>
          <w:spacing w:val="-2"/>
        </w:rPr>
        <w:t>t</w:t>
      </w:r>
      <w:r>
        <w:t>heir</w:t>
      </w:r>
      <w:r>
        <w:rPr>
          <w:spacing w:val="-1"/>
        </w:rPr>
        <w:t xml:space="preserve"> </w:t>
      </w:r>
      <w:r>
        <w:t>traini</w:t>
      </w:r>
      <w:r>
        <w:rPr>
          <w:spacing w:val="-2"/>
        </w:rPr>
        <w:t>n</w:t>
      </w:r>
      <w:r>
        <w:t xml:space="preserve">g </w:t>
      </w:r>
      <w:r>
        <w:rPr>
          <w:spacing w:val="1"/>
        </w:rPr>
        <w:t>p</w:t>
      </w:r>
      <w:r>
        <w:t>r</w:t>
      </w:r>
      <w:r>
        <w:rPr>
          <w:spacing w:val="-3"/>
        </w:rPr>
        <w:t>o</w:t>
      </w:r>
      <w:r>
        <w:rPr>
          <w:spacing w:val="-2"/>
        </w:rPr>
        <w:t>g</w:t>
      </w:r>
      <w:r>
        <w:t>ra</w:t>
      </w:r>
      <w:r>
        <w:rPr>
          <w:spacing w:val="1"/>
        </w:rPr>
        <w:t>m</w:t>
      </w:r>
      <w:r>
        <w:rPr>
          <w:spacing w:val="-1"/>
        </w:rPr>
        <w:t>m</w:t>
      </w:r>
      <w:r>
        <w:t>e c</w:t>
      </w:r>
      <w:r>
        <w:rPr>
          <w:spacing w:val="1"/>
        </w:rPr>
        <w:t>u</w:t>
      </w:r>
      <w:r>
        <w:t>r</w:t>
      </w:r>
      <w:r>
        <w:rPr>
          <w:spacing w:val="-2"/>
        </w:rPr>
        <w:t>r</w:t>
      </w:r>
      <w:r>
        <w:t>icul</w:t>
      </w:r>
      <w:r>
        <w:rPr>
          <w:spacing w:val="-2"/>
        </w:rPr>
        <w:t>u</w:t>
      </w:r>
      <w:r>
        <w:rPr>
          <w:spacing w:val="1"/>
        </w:rPr>
        <w:t>m</w:t>
      </w:r>
      <w:r>
        <w:t>.</w:t>
      </w:r>
    </w:p>
    <w:p w:rsidR="004D7A1E" w:rsidP="004D7A1E" w:rsidRDefault="004D7A1E" w14:paraId="7BC9F024" w14:textId="77777777">
      <w:pPr>
        <w:pStyle w:val="BodyText"/>
      </w:pPr>
    </w:p>
    <w:p w:rsidR="004D7A1E" w:rsidP="00554A8E" w:rsidRDefault="004D7A1E" w14:paraId="0D0E8FBD" w14:textId="77777777">
      <w:pPr>
        <w:pStyle w:val="BodyText"/>
        <w:ind w:left="0"/>
        <w:rPr>
          <w:rFonts w:eastAsiaTheme="minorEastAsia"/>
        </w:rPr>
      </w:pPr>
      <w:r w:rsidRPr="001945EE">
        <w:rPr>
          <w:rFonts w:eastAsiaTheme="minorEastAsia"/>
        </w:rPr>
        <w:t>The learning programme comprises blended learning content that includes:</w:t>
      </w:r>
    </w:p>
    <w:p w:rsidR="004D7A1E" w:rsidP="00554A8E" w:rsidRDefault="004D7A1E" w14:paraId="02AD067A" w14:textId="77777777">
      <w:pPr>
        <w:pStyle w:val="BodyText"/>
        <w:ind w:left="0"/>
        <w:rPr>
          <w:rFonts w:eastAsiaTheme="minorEastAsia"/>
        </w:rPr>
      </w:pPr>
    </w:p>
    <w:p w:rsidR="004D7A1E" w:rsidP="00554A8E" w:rsidRDefault="004D7A1E" w14:paraId="42DE2E5E" w14:textId="77777777">
      <w:pPr>
        <w:pStyle w:val="BodyText"/>
        <w:numPr>
          <w:ilvl w:val="0"/>
          <w:numId w:val="7"/>
        </w:numPr>
      </w:pPr>
      <w:r>
        <w:t xml:space="preserve">Virtual contact days </w:t>
      </w:r>
    </w:p>
    <w:p w:rsidRPr="00B95D30" w:rsidR="004D7A1E" w:rsidP="56CBDA91" w:rsidRDefault="004D7A1E" w14:paraId="60A5A0E5" w14:textId="77777777">
      <w:pPr>
        <w:pStyle w:val="BodyText"/>
        <w:numPr>
          <w:ilvl w:val="0"/>
          <w:numId w:val="7"/>
        </w:numPr>
      </w:pPr>
      <w:r w:rsidRPr="00B95D30">
        <w:t>Online learning</w:t>
      </w:r>
    </w:p>
    <w:p w:rsidR="004D7A1E" w:rsidP="00554A8E" w:rsidRDefault="004D7A1E" w14:paraId="4D1A4C61" w14:textId="5576925D">
      <w:pPr>
        <w:pStyle w:val="BodyText"/>
        <w:numPr>
          <w:ilvl w:val="0"/>
          <w:numId w:val="7"/>
        </w:numPr>
      </w:pPr>
      <w:r>
        <w:t xml:space="preserve">Host workplace </w:t>
      </w:r>
      <w:r w:rsidR="00071CFF">
        <w:t xml:space="preserve">and </w:t>
      </w:r>
      <w:r w:rsidDel="003439FD" w:rsidR="00C8411B">
        <w:t>p</w:t>
      </w:r>
      <w:r w:rsidDel="003439FD">
        <w:t>roject</w:t>
      </w:r>
      <w:r w:rsidR="003439FD">
        <w:t>-based</w:t>
      </w:r>
      <w:r>
        <w:t xml:space="preserve"> learning</w:t>
      </w:r>
    </w:p>
    <w:p w:rsidR="004D7A1E" w:rsidP="00554A8E" w:rsidRDefault="004D7A1E" w14:paraId="04F10141" w14:textId="77777777">
      <w:pPr>
        <w:pStyle w:val="BodyText"/>
        <w:numPr>
          <w:ilvl w:val="0"/>
          <w:numId w:val="7"/>
        </w:numPr>
      </w:pPr>
      <w:r>
        <w:t>Peer learning</w:t>
      </w:r>
    </w:p>
    <w:p w:rsidR="004D7A1E" w:rsidP="00554A8E" w:rsidRDefault="004D7A1E" w14:paraId="2CC9D030" w14:textId="77777777">
      <w:pPr>
        <w:pStyle w:val="BodyText"/>
        <w:numPr>
          <w:ilvl w:val="0"/>
          <w:numId w:val="7"/>
        </w:numPr>
      </w:pPr>
      <w:r>
        <w:t>Reflective learning</w:t>
      </w:r>
    </w:p>
    <w:p w:rsidR="004D7A1E" w:rsidP="00554A8E" w:rsidRDefault="004D7A1E" w14:paraId="55449668" w14:textId="77777777">
      <w:pPr>
        <w:pStyle w:val="BodyText"/>
        <w:numPr>
          <w:ilvl w:val="0"/>
          <w:numId w:val="7"/>
        </w:numPr>
      </w:pPr>
      <w:r>
        <w:t>Presentations</w:t>
      </w:r>
    </w:p>
    <w:p w:rsidR="004D7A1E" w:rsidP="00554A8E" w:rsidRDefault="004D7A1E" w14:paraId="434AECDF" w14:textId="77777777">
      <w:pPr>
        <w:pStyle w:val="BodyText"/>
        <w:rPr>
          <w:rFonts w:eastAsiaTheme="minorHAnsi"/>
          <w:b/>
          <w:szCs w:val="22"/>
        </w:rPr>
      </w:pPr>
    </w:p>
    <w:p w:rsidR="004D7A1E" w:rsidP="00554A8E" w:rsidRDefault="004D7A1E" w14:paraId="2C6DFFBA" w14:textId="7071F026">
      <w:pPr>
        <w:pStyle w:val="BodyText"/>
        <w:ind w:left="0"/>
        <w:rPr>
          <w:rFonts w:eastAsiaTheme="minorHAnsi"/>
          <w:b/>
          <w:szCs w:val="22"/>
        </w:rPr>
      </w:pPr>
      <w:r>
        <w:rPr>
          <w:rFonts w:eastAsiaTheme="minorHAnsi"/>
          <w:szCs w:val="22"/>
        </w:rPr>
        <w:t xml:space="preserve">The </w:t>
      </w:r>
      <w:r w:rsidR="00B95D30">
        <w:rPr>
          <w:rFonts w:eastAsiaTheme="minorHAnsi"/>
          <w:szCs w:val="22"/>
        </w:rPr>
        <w:t>fellowship</w:t>
      </w:r>
      <w:r w:rsidRPr="004C42F0">
        <w:rPr>
          <w:rFonts w:eastAsiaTheme="minorHAnsi"/>
          <w:szCs w:val="22"/>
        </w:rPr>
        <w:t xml:space="preserve"> </w:t>
      </w:r>
      <w:r>
        <w:rPr>
          <w:rFonts w:eastAsiaTheme="minorHAnsi"/>
          <w:szCs w:val="22"/>
        </w:rPr>
        <w:t xml:space="preserve">aims and objectives and the project learning outcomes are outlined below. </w:t>
      </w:r>
    </w:p>
    <w:p w:rsidRPr="004D7A1E" w:rsidR="004D7A1E" w:rsidP="00554A8E" w:rsidRDefault="004D7A1E" w14:paraId="12F85ECF" w14:textId="77777777">
      <w:pPr>
        <w:pStyle w:val="BodyText"/>
        <w:ind w:left="0"/>
        <w:rPr>
          <w:color w:val="005EB8" w:themeColor="text1"/>
        </w:rPr>
      </w:pPr>
    </w:p>
    <w:p w:rsidRPr="00786E4D" w:rsidR="004D7A1E" w:rsidP="00554A8E" w:rsidRDefault="004D7A1E" w14:paraId="5D59F5AD" w14:textId="77777777">
      <w:pPr>
        <w:pStyle w:val="Heading2"/>
        <w:rPr>
          <w:color w:val="004689" w:themeColor="text1" w:themeShade="BF"/>
        </w:rPr>
      </w:pPr>
      <w:bookmarkStart w:name="_Toc86227537" w:id="24"/>
      <w:r w:rsidRPr="00786E4D">
        <w:rPr>
          <w:color w:val="004689" w:themeColor="text1" w:themeShade="BF"/>
        </w:rPr>
        <w:t>Aims</w:t>
      </w:r>
      <w:bookmarkEnd w:id="24"/>
    </w:p>
    <w:p w:rsidRPr="00F20DE2" w:rsidR="00415A40" w:rsidP="00554A8E" w:rsidRDefault="00415A40" w14:paraId="20966415" w14:textId="67107AFA">
      <w:pPr>
        <w:pStyle w:val="ListParagraph"/>
        <w:numPr>
          <w:ilvl w:val="0"/>
          <w:numId w:val="21"/>
        </w:numPr>
        <w:spacing w:after="0" w:line="240" w:lineRule="auto"/>
        <w:rPr>
          <w:rFonts w:ascii="Arial" w:hAnsi="Arial" w:cs="Arial"/>
          <w:sz w:val="24"/>
          <w:szCs w:val="24"/>
        </w:rPr>
      </w:pPr>
      <w:r w:rsidRPr="5F5C4846">
        <w:rPr>
          <w:rFonts w:ascii="Arial" w:hAnsi="Arial" w:cs="Arial"/>
          <w:sz w:val="24"/>
          <w:szCs w:val="24"/>
        </w:rPr>
        <w:t xml:space="preserve">To encourage a mindset among </w:t>
      </w:r>
      <w:r w:rsidR="00466AE5">
        <w:rPr>
          <w:rFonts w:ascii="Arial" w:hAnsi="Arial" w:cs="Arial"/>
          <w:sz w:val="24"/>
          <w:szCs w:val="24"/>
        </w:rPr>
        <w:t>fellows</w:t>
      </w:r>
      <w:r w:rsidRPr="5F5C4846">
        <w:rPr>
          <w:rFonts w:ascii="Arial" w:hAnsi="Arial" w:cs="Arial"/>
          <w:sz w:val="24"/>
          <w:szCs w:val="24"/>
        </w:rPr>
        <w:t xml:space="preserve"> that encourages an appreciation of the potential for prevention and improved outcomes, particularly in the presence of health inequalities</w:t>
      </w:r>
      <w:r>
        <w:rPr>
          <w:rFonts w:ascii="Arial" w:hAnsi="Arial" w:cs="Arial"/>
          <w:sz w:val="24"/>
          <w:szCs w:val="24"/>
        </w:rPr>
        <w:t>.</w:t>
      </w:r>
    </w:p>
    <w:p w:rsidRPr="00F20DE2" w:rsidR="00415A40" w:rsidP="00554A8E" w:rsidRDefault="00415A40" w14:paraId="448A43A8" w14:textId="77777777">
      <w:pPr>
        <w:pStyle w:val="ListParagraph"/>
        <w:numPr>
          <w:ilvl w:val="0"/>
          <w:numId w:val="21"/>
        </w:numPr>
        <w:spacing w:after="0" w:line="240" w:lineRule="auto"/>
        <w:rPr>
          <w:rFonts w:ascii="Arial" w:hAnsi="Arial" w:cs="Arial"/>
          <w:sz w:val="24"/>
          <w:szCs w:val="24"/>
        </w:rPr>
      </w:pPr>
      <w:r w:rsidRPr="4E18D196">
        <w:rPr>
          <w:rFonts w:ascii="Arial" w:hAnsi="Arial" w:cs="Arial"/>
          <w:sz w:val="24"/>
          <w:szCs w:val="24"/>
        </w:rPr>
        <w:t>To instil an appreciation of the impacts, beyond medical interventions, on the health and wellbeing of their patients/clients and factors that may influence or determine outcomes of care</w:t>
      </w:r>
      <w:r>
        <w:rPr>
          <w:rFonts w:ascii="Arial" w:hAnsi="Arial" w:cs="Arial"/>
          <w:sz w:val="24"/>
          <w:szCs w:val="24"/>
        </w:rPr>
        <w:t>.</w:t>
      </w:r>
    </w:p>
    <w:p w:rsidRPr="00F20DE2" w:rsidR="00415A40" w:rsidP="00554A8E" w:rsidRDefault="00415A40" w14:paraId="07526F8F" w14:textId="77777777">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To enable application of their knowledge and skills to exploit opportunities for prevention and to improve patient outcomes</w:t>
      </w:r>
      <w:r>
        <w:rPr>
          <w:rFonts w:ascii="Arial" w:hAnsi="Arial" w:cs="Arial"/>
          <w:sz w:val="24"/>
          <w:szCs w:val="24"/>
        </w:rPr>
        <w:t>.</w:t>
      </w:r>
    </w:p>
    <w:p w:rsidRPr="00F20DE2" w:rsidR="00415A40" w:rsidP="00554A8E" w:rsidRDefault="00415A40" w14:paraId="008E672B" w14:textId="11ABC039">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To encourage the creation of a</w:t>
      </w:r>
      <w:r w:rsidR="009010B3">
        <w:rPr>
          <w:rFonts w:ascii="Arial" w:hAnsi="Arial" w:cs="Arial"/>
          <w:sz w:val="24"/>
          <w:szCs w:val="24"/>
        </w:rPr>
        <w:t>n increasing number</w:t>
      </w:r>
      <w:r w:rsidRPr="76E4D800">
        <w:rPr>
          <w:rFonts w:ascii="Arial" w:hAnsi="Arial" w:cs="Arial"/>
          <w:sz w:val="24"/>
          <w:szCs w:val="24"/>
        </w:rPr>
        <w:t xml:space="preserve"> of population health-oriented health and social care workers</w:t>
      </w:r>
      <w:r>
        <w:rPr>
          <w:rFonts w:ascii="Arial" w:hAnsi="Arial" w:cs="Arial"/>
          <w:sz w:val="24"/>
          <w:szCs w:val="24"/>
        </w:rPr>
        <w:t>.</w:t>
      </w:r>
    </w:p>
    <w:p w:rsidRPr="00F20DE2" w:rsidR="00415A40" w:rsidP="00554A8E" w:rsidRDefault="00415A40" w14:paraId="72188228" w14:textId="4FC952F4">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 xml:space="preserve">To inspire ongoing routine application of population health competencies </w:t>
      </w:r>
      <w:r w:rsidR="00F03C82">
        <w:rPr>
          <w:rFonts w:ascii="Arial" w:hAnsi="Arial" w:cs="Arial"/>
          <w:sz w:val="24"/>
          <w:szCs w:val="24"/>
        </w:rPr>
        <w:t xml:space="preserve">in </w:t>
      </w:r>
      <w:r w:rsidRPr="76E4D800" w:rsidR="00554A8E">
        <w:rPr>
          <w:rFonts w:ascii="Arial" w:hAnsi="Arial" w:cs="Arial"/>
          <w:sz w:val="24"/>
          <w:szCs w:val="24"/>
        </w:rPr>
        <w:t>day-to-day</w:t>
      </w:r>
      <w:r w:rsidRPr="76E4D800">
        <w:rPr>
          <w:rFonts w:ascii="Arial" w:hAnsi="Arial" w:cs="Arial"/>
          <w:sz w:val="24"/>
          <w:szCs w:val="24"/>
        </w:rPr>
        <w:t xml:space="preserve"> work</w:t>
      </w:r>
      <w:r>
        <w:rPr>
          <w:rFonts w:ascii="Arial" w:hAnsi="Arial" w:cs="Arial"/>
          <w:sz w:val="24"/>
          <w:szCs w:val="24"/>
        </w:rPr>
        <w:t>.</w:t>
      </w:r>
    </w:p>
    <w:p w:rsidR="004D7A1E" w:rsidP="00554A8E" w:rsidRDefault="004D7A1E" w14:paraId="744F864C" w14:textId="77777777">
      <w:pPr>
        <w:pStyle w:val="BodyText"/>
      </w:pPr>
    </w:p>
    <w:p w:rsidR="004D7A1E" w:rsidP="00554A8E" w:rsidRDefault="004D7A1E" w14:paraId="29E007C6" w14:textId="77777777">
      <w:pPr>
        <w:pStyle w:val="BodyText"/>
      </w:pPr>
    </w:p>
    <w:p w:rsidRPr="00786E4D" w:rsidR="004D7A1E" w:rsidP="00554A8E" w:rsidRDefault="00C2180D" w14:paraId="1296FBA4" w14:textId="122A65C8">
      <w:pPr>
        <w:pStyle w:val="Heading2"/>
        <w:rPr>
          <w:color w:val="004689" w:themeColor="text1" w:themeShade="BF"/>
        </w:rPr>
      </w:pPr>
      <w:bookmarkStart w:name="_Toc86227538" w:id="25"/>
      <w:r w:rsidRPr="00786E4D">
        <w:rPr>
          <w:color w:val="004689" w:themeColor="text1" w:themeShade="BF"/>
        </w:rPr>
        <w:t xml:space="preserve">Curriculum </w:t>
      </w:r>
      <w:r w:rsidRPr="00786E4D" w:rsidR="00627644">
        <w:rPr>
          <w:color w:val="004689" w:themeColor="text1" w:themeShade="BF"/>
        </w:rPr>
        <w:t>a</w:t>
      </w:r>
      <w:r w:rsidRPr="00786E4D">
        <w:rPr>
          <w:color w:val="004689" w:themeColor="text1" w:themeShade="BF"/>
        </w:rPr>
        <w:t>reas</w:t>
      </w:r>
      <w:bookmarkEnd w:id="25"/>
    </w:p>
    <w:p w:rsidRPr="00F20DE2" w:rsidR="00D377EC" w:rsidP="00554A8E" w:rsidRDefault="00D377EC" w14:paraId="0FE4953B" w14:textId="77777777">
      <w:pPr>
        <w:pStyle w:val="ListParagraph"/>
        <w:numPr>
          <w:ilvl w:val="0"/>
          <w:numId w:val="22"/>
        </w:numPr>
        <w:rPr>
          <w:rFonts w:ascii="Arial" w:hAnsi="Arial" w:cs="Arial"/>
          <w:sz w:val="24"/>
          <w:szCs w:val="24"/>
        </w:rPr>
      </w:pPr>
      <w:r w:rsidRPr="00F20DE2">
        <w:rPr>
          <w:rFonts w:ascii="Arial" w:hAnsi="Arial" w:cs="Arial"/>
          <w:sz w:val="24"/>
          <w:szCs w:val="24"/>
        </w:rPr>
        <w:t>Identifying populations and individuals, including those patients/clients at increased risk of potentially modifiable, less favourable outcome</w:t>
      </w:r>
      <w:r>
        <w:rPr>
          <w:rFonts w:ascii="Arial" w:hAnsi="Arial" w:cs="Arial"/>
          <w:sz w:val="24"/>
          <w:szCs w:val="24"/>
        </w:rPr>
        <w:t xml:space="preserve">s </w:t>
      </w:r>
    </w:p>
    <w:p w:rsidRPr="00F20DE2" w:rsidR="00D377EC" w:rsidP="00554A8E" w:rsidRDefault="00D377EC" w14:paraId="4F3DBAD2" w14:textId="77777777">
      <w:pPr>
        <w:pStyle w:val="ListParagraph"/>
        <w:numPr>
          <w:ilvl w:val="0"/>
          <w:numId w:val="22"/>
        </w:numPr>
        <w:rPr>
          <w:rFonts w:ascii="Arial" w:hAnsi="Arial" w:cs="Arial"/>
          <w:sz w:val="24"/>
          <w:szCs w:val="24"/>
        </w:rPr>
      </w:pPr>
      <w:r w:rsidRPr="1B0EC95A">
        <w:rPr>
          <w:rFonts w:ascii="Arial" w:hAnsi="Arial" w:cs="Arial"/>
          <w:sz w:val="24"/>
          <w:szCs w:val="24"/>
        </w:rPr>
        <w:t xml:space="preserve">Understanding prevention, including primary and secondary prevention </w:t>
      </w:r>
      <w:r>
        <w:rPr>
          <w:rFonts w:ascii="Arial" w:hAnsi="Arial" w:cs="Arial"/>
          <w:sz w:val="24"/>
          <w:szCs w:val="24"/>
        </w:rPr>
        <w:t>–</w:t>
      </w:r>
      <w:r w:rsidRPr="1B0EC95A">
        <w:rPr>
          <w:rFonts w:ascii="Arial" w:hAnsi="Arial" w:cs="Arial"/>
          <w:sz w:val="24"/>
          <w:szCs w:val="24"/>
        </w:rPr>
        <w:t xml:space="preserve"> of infectious and non-infectious diseases </w:t>
      </w:r>
      <w:r>
        <w:rPr>
          <w:rFonts w:ascii="Arial" w:hAnsi="Arial" w:cs="Arial"/>
          <w:sz w:val="24"/>
          <w:szCs w:val="24"/>
        </w:rPr>
        <w:t>–</w:t>
      </w:r>
      <w:r w:rsidRPr="1B0EC95A">
        <w:rPr>
          <w:rFonts w:ascii="Arial" w:hAnsi="Arial" w:cs="Arial"/>
          <w:sz w:val="24"/>
          <w:szCs w:val="24"/>
        </w:rPr>
        <w:t xml:space="preserve"> to protect and promote both their own health and wellbeing and those of their patients/clients</w:t>
      </w:r>
    </w:p>
    <w:p w:rsidRPr="00F20DE2" w:rsidR="00D377EC" w:rsidP="00554A8E" w:rsidRDefault="00D377EC" w14:paraId="0E34E195" w14:textId="77777777">
      <w:pPr>
        <w:pStyle w:val="ListParagraph"/>
        <w:numPr>
          <w:ilvl w:val="0"/>
          <w:numId w:val="22"/>
        </w:numPr>
        <w:rPr>
          <w:rFonts w:ascii="Arial" w:hAnsi="Arial" w:cs="Arial"/>
          <w:sz w:val="24"/>
          <w:szCs w:val="24"/>
        </w:rPr>
      </w:pPr>
      <w:r w:rsidRPr="00F20DE2">
        <w:rPr>
          <w:rFonts w:ascii="Arial" w:hAnsi="Arial" w:cs="Arial"/>
          <w:sz w:val="24"/>
          <w:szCs w:val="24"/>
        </w:rPr>
        <w:t>Understanding health promotion and improvement, and the role of human behaviour in influencing personal and population health</w:t>
      </w:r>
    </w:p>
    <w:p w:rsidRPr="00F20DE2" w:rsidR="00D377EC" w:rsidP="00554A8E" w:rsidRDefault="00D377EC" w14:paraId="1DBEDC0F" w14:textId="77777777">
      <w:pPr>
        <w:pStyle w:val="ListParagraph"/>
        <w:numPr>
          <w:ilvl w:val="0"/>
          <w:numId w:val="22"/>
        </w:numPr>
        <w:rPr>
          <w:rFonts w:ascii="Arial" w:hAnsi="Arial" w:cs="Arial"/>
          <w:sz w:val="24"/>
          <w:szCs w:val="24"/>
        </w:rPr>
      </w:pPr>
      <w:r w:rsidRPr="00F20DE2">
        <w:rPr>
          <w:rFonts w:ascii="Arial" w:hAnsi="Arial" w:cs="Arial"/>
          <w:sz w:val="24"/>
          <w:szCs w:val="24"/>
        </w:rPr>
        <w:t>Understanding risk to individual and population health</w:t>
      </w:r>
    </w:p>
    <w:p w:rsidRPr="00F20DE2" w:rsidR="00D377EC" w:rsidP="00554A8E" w:rsidRDefault="00D377EC" w14:paraId="3E0CF780" w14:textId="77777777">
      <w:pPr>
        <w:pStyle w:val="ListParagraph"/>
        <w:numPr>
          <w:ilvl w:val="0"/>
          <w:numId w:val="22"/>
        </w:numPr>
        <w:rPr>
          <w:rFonts w:ascii="Arial" w:hAnsi="Arial" w:cs="Arial"/>
          <w:sz w:val="24"/>
          <w:szCs w:val="24"/>
        </w:rPr>
      </w:pPr>
      <w:r w:rsidRPr="00F20DE2">
        <w:rPr>
          <w:rFonts w:ascii="Arial" w:hAnsi="Arial" w:cs="Arial"/>
          <w:sz w:val="24"/>
          <w:szCs w:val="24"/>
        </w:rPr>
        <w:t>Prioritising decisions, triage, resource allocation</w:t>
      </w:r>
    </w:p>
    <w:p w:rsidRPr="00F20DE2" w:rsidR="00D377EC" w:rsidP="00554A8E" w:rsidRDefault="00D377EC" w14:paraId="127FD15B" w14:textId="77777777">
      <w:pPr>
        <w:pStyle w:val="ListParagraph"/>
        <w:numPr>
          <w:ilvl w:val="0"/>
          <w:numId w:val="22"/>
        </w:numPr>
        <w:rPr>
          <w:rFonts w:ascii="Arial" w:hAnsi="Arial" w:cs="Arial"/>
          <w:sz w:val="24"/>
          <w:szCs w:val="24"/>
        </w:rPr>
      </w:pPr>
      <w:r w:rsidRPr="00F20DE2">
        <w:rPr>
          <w:rFonts w:ascii="Arial" w:hAnsi="Arial" w:cs="Arial"/>
          <w:sz w:val="24"/>
          <w:szCs w:val="24"/>
        </w:rPr>
        <w:t>Understanding basic epidemiology</w:t>
      </w:r>
    </w:p>
    <w:p w:rsidRPr="00F20DE2" w:rsidR="00D377EC" w:rsidP="00554A8E" w:rsidRDefault="00D377EC" w14:paraId="4C8F3A18" w14:textId="77777777">
      <w:pPr>
        <w:pStyle w:val="ListParagraph"/>
        <w:numPr>
          <w:ilvl w:val="0"/>
          <w:numId w:val="22"/>
        </w:numPr>
        <w:rPr>
          <w:rFonts w:ascii="Arial" w:hAnsi="Arial" w:cs="Arial"/>
          <w:sz w:val="24"/>
          <w:szCs w:val="24"/>
        </w:rPr>
      </w:pPr>
      <w:r w:rsidRPr="00F20DE2">
        <w:rPr>
          <w:rFonts w:ascii="Arial" w:hAnsi="Arial" w:cs="Arial"/>
          <w:sz w:val="24"/>
          <w:szCs w:val="24"/>
        </w:rPr>
        <w:t>Appreciation of social, economic</w:t>
      </w:r>
      <w:r>
        <w:rPr>
          <w:rFonts w:ascii="Arial" w:hAnsi="Arial" w:cs="Arial"/>
          <w:sz w:val="24"/>
          <w:szCs w:val="24"/>
        </w:rPr>
        <w:t>, environmental,</w:t>
      </w:r>
      <w:r w:rsidRPr="00F20DE2">
        <w:rPr>
          <w:rFonts w:ascii="Arial" w:hAnsi="Arial" w:cs="Arial"/>
          <w:sz w:val="24"/>
          <w:szCs w:val="24"/>
        </w:rPr>
        <w:t xml:space="preserve"> and other determinants of health and ill health and wellbeing</w:t>
      </w:r>
      <w:r>
        <w:rPr>
          <w:rFonts w:ascii="Arial" w:hAnsi="Arial" w:cs="Arial"/>
          <w:sz w:val="24"/>
          <w:szCs w:val="24"/>
        </w:rPr>
        <w:t xml:space="preserve"> in the short and longer term</w:t>
      </w:r>
    </w:p>
    <w:p w:rsidRPr="00F20DE2" w:rsidR="00D377EC" w:rsidP="00554A8E" w:rsidRDefault="00D377EC" w14:paraId="2DB480BD" w14:textId="77777777">
      <w:pPr>
        <w:pStyle w:val="ListParagraph"/>
        <w:numPr>
          <w:ilvl w:val="0"/>
          <w:numId w:val="22"/>
        </w:numPr>
        <w:rPr>
          <w:rFonts w:ascii="Arial" w:hAnsi="Arial" w:cs="Arial"/>
          <w:sz w:val="24"/>
          <w:szCs w:val="24"/>
        </w:rPr>
      </w:pPr>
      <w:r w:rsidRPr="00F20DE2">
        <w:rPr>
          <w:rFonts w:ascii="Arial" w:hAnsi="Arial" w:cs="Arial"/>
          <w:sz w:val="24"/>
          <w:szCs w:val="24"/>
        </w:rPr>
        <w:t xml:space="preserve">Recognising and addressing health inequalities </w:t>
      </w:r>
    </w:p>
    <w:p w:rsidRPr="00F20DE2" w:rsidR="00D377EC" w:rsidP="00554A8E" w:rsidRDefault="00D377EC" w14:paraId="00BB9A39" w14:textId="77777777">
      <w:pPr>
        <w:pStyle w:val="ListParagraph"/>
        <w:numPr>
          <w:ilvl w:val="0"/>
          <w:numId w:val="22"/>
        </w:numPr>
        <w:rPr>
          <w:rFonts w:ascii="Arial" w:hAnsi="Arial" w:cs="Arial"/>
          <w:sz w:val="24"/>
          <w:szCs w:val="24"/>
        </w:rPr>
      </w:pPr>
      <w:r w:rsidRPr="1B0EC95A">
        <w:rPr>
          <w:rFonts w:ascii="Arial" w:hAnsi="Arial" w:cs="Arial"/>
          <w:sz w:val="24"/>
          <w:szCs w:val="24"/>
        </w:rPr>
        <w:t>How to make decisions, at level appropriate to an individual’s role, to optimise population heath</w:t>
      </w:r>
    </w:p>
    <w:p w:rsidRPr="00F20DE2" w:rsidR="00D377EC" w:rsidP="00554A8E" w:rsidRDefault="00D377EC" w14:paraId="38181BBA" w14:textId="77777777">
      <w:pPr>
        <w:pStyle w:val="ListParagraph"/>
        <w:numPr>
          <w:ilvl w:val="0"/>
          <w:numId w:val="22"/>
        </w:numPr>
        <w:rPr>
          <w:rFonts w:ascii="Arial" w:hAnsi="Arial" w:cs="Arial"/>
          <w:sz w:val="24"/>
          <w:szCs w:val="24"/>
        </w:rPr>
      </w:pPr>
      <w:r w:rsidRPr="1B0EC95A">
        <w:rPr>
          <w:rFonts w:ascii="Arial" w:hAnsi="Arial" w:cs="Arial"/>
          <w:sz w:val="24"/>
          <w:szCs w:val="24"/>
        </w:rPr>
        <w:t>How to access and interpret and use commonly available demographic/health/social care data to support improvements in service provision at their level</w:t>
      </w:r>
    </w:p>
    <w:p w:rsidRPr="00F20DE2" w:rsidR="00D377EC" w:rsidP="00554A8E" w:rsidRDefault="00D377EC" w14:paraId="0FEC900E" w14:textId="77777777">
      <w:pPr>
        <w:pStyle w:val="ListParagraph"/>
        <w:numPr>
          <w:ilvl w:val="0"/>
          <w:numId w:val="22"/>
        </w:numPr>
        <w:rPr>
          <w:rFonts w:ascii="Arial" w:hAnsi="Arial" w:cs="Arial"/>
          <w:sz w:val="24"/>
          <w:szCs w:val="24"/>
        </w:rPr>
      </w:pPr>
      <w:r w:rsidRPr="1B0EC95A">
        <w:rPr>
          <w:rFonts w:ascii="Arial" w:hAnsi="Arial" w:cs="Arial"/>
          <w:sz w:val="24"/>
          <w:szCs w:val="24"/>
        </w:rPr>
        <w:t>Impact and lessons learnt from the 2020 Novel Coronavirus Pandemic and how to enhance and optimise effectiveness of the response to future outbreaks of infectious disease</w:t>
      </w:r>
      <w:r>
        <w:rPr>
          <w:rFonts w:ascii="Arial" w:hAnsi="Arial" w:cs="Arial"/>
          <w:sz w:val="24"/>
          <w:szCs w:val="24"/>
        </w:rPr>
        <w:t>.</w:t>
      </w:r>
    </w:p>
    <w:p w:rsidR="004D7A1E" w:rsidP="00554A8E" w:rsidRDefault="004D7A1E" w14:paraId="430B1A37" w14:textId="77777777">
      <w:pPr>
        <w:pStyle w:val="BodyText"/>
        <w:ind w:left="472"/>
      </w:pPr>
    </w:p>
    <w:p w:rsidRPr="00786E4D" w:rsidR="004D7A1E" w:rsidP="00554A8E" w:rsidRDefault="00A531A3" w14:paraId="1BF986C0" w14:textId="10731DC7">
      <w:pPr>
        <w:pStyle w:val="Heading2"/>
        <w:rPr>
          <w:color w:val="004689" w:themeColor="text1" w:themeShade="BF"/>
        </w:rPr>
      </w:pPr>
      <w:bookmarkStart w:name="_Toc86227539" w:id="26"/>
      <w:r w:rsidRPr="00786E4D">
        <w:rPr>
          <w:color w:val="004689" w:themeColor="text1" w:themeShade="BF"/>
        </w:rPr>
        <w:t>Learning objectives</w:t>
      </w:r>
      <w:bookmarkEnd w:id="26"/>
    </w:p>
    <w:p w:rsidRPr="00043AE2" w:rsidR="000F03D4" w:rsidP="00554A8E" w:rsidRDefault="000F03D4" w14:paraId="53958832"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the meaning of population health</w:t>
      </w:r>
    </w:p>
    <w:p w:rsidRPr="00043AE2" w:rsidR="000F03D4" w:rsidP="00554A8E" w:rsidRDefault="000F03D4" w14:paraId="2A96B849" w14:textId="79643D7D">
      <w:pPr>
        <w:pStyle w:val="ListParagraph"/>
        <w:numPr>
          <w:ilvl w:val="0"/>
          <w:numId w:val="23"/>
        </w:numPr>
        <w:rPr>
          <w:rFonts w:ascii="Arial" w:hAnsi="Arial" w:cs="Arial"/>
          <w:sz w:val="24"/>
          <w:szCs w:val="24"/>
        </w:rPr>
      </w:pPr>
      <w:r w:rsidRPr="00043AE2">
        <w:rPr>
          <w:rFonts w:ascii="Arial" w:hAnsi="Arial" w:cs="Arial"/>
          <w:sz w:val="24"/>
          <w:szCs w:val="24"/>
        </w:rPr>
        <w:t xml:space="preserve">Appreciating why population health is relevant to their </w:t>
      </w:r>
      <w:r w:rsidRPr="00043AE2" w:rsidR="00554A8E">
        <w:rPr>
          <w:rFonts w:ascii="Arial" w:hAnsi="Arial" w:cs="Arial"/>
          <w:sz w:val="24"/>
          <w:szCs w:val="24"/>
        </w:rPr>
        <w:t>day-to-day</w:t>
      </w:r>
      <w:r w:rsidRPr="00043AE2">
        <w:rPr>
          <w:rFonts w:ascii="Arial" w:hAnsi="Arial" w:cs="Arial"/>
          <w:sz w:val="24"/>
          <w:szCs w:val="24"/>
        </w:rPr>
        <w:t xml:space="preserve"> role in service delivery or commissioning</w:t>
      </w:r>
    </w:p>
    <w:p w:rsidRPr="00043AE2" w:rsidR="000F03D4" w:rsidP="00554A8E" w:rsidRDefault="000F03D4" w14:paraId="7328A55A"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what we mean by health inequalities and why it is imperative to tackle them</w:t>
      </w:r>
    </w:p>
    <w:p w:rsidRPr="00043AE2" w:rsidR="000F03D4" w:rsidP="00554A8E" w:rsidRDefault="000F03D4" w14:paraId="795C6FEB" w14:textId="77777777">
      <w:pPr>
        <w:pStyle w:val="ListParagraph"/>
        <w:numPr>
          <w:ilvl w:val="0"/>
          <w:numId w:val="23"/>
        </w:numPr>
        <w:rPr>
          <w:rFonts w:ascii="Arial" w:hAnsi="Arial" w:cs="Arial"/>
          <w:sz w:val="24"/>
          <w:szCs w:val="24"/>
        </w:rPr>
      </w:pPr>
      <w:r w:rsidRPr="00043AE2">
        <w:rPr>
          <w:rFonts w:ascii="Arial" w:hAnsi="Arial" w:cs="Arial"/>
          <w:sz w:val="24"/>
          <w:szCs w:val="24"/>
        </w:rPr>
        <w:t>Identifying a population or community</w:t>
      </w:r>
    </w:p>
    <w:p w:rsidRPr="00043AE2" w:rsidR="000F03D4" w:rsidP="00554A8E" w:rsidRDefault="000F03D4" w14:paraId="6A3E7EE2" w14:textId="77777777">
      <w:pPr>
        <w:pStyle w:val="ListParagraph"/>
        <w:numPr>
          <w:ilvl w:val="0"/>
          <w:numId w:val="23"/>
        </w:numPr>
        <w:rPr>
          <w:rFonts w:ascii="Arial" w:hAnsi="Arial" w:cs="Arial"/>
          <w:sz w:val="24"/>
          <w:szCs w:val="24"/>
        </w:rPr>
      </w:pPr>
      <w:r w:rsidRPr="00043AE2">
        <w:rPr>
          <w:rFonts w:ascii="Arial" w:hAnsi="Arial" w:cs="Arial"/>
          <w:sz w:val="24"/>
          <w:szCs w:val="24"/>
        </w:rPr>
        <w:t>Accessing and utilising relevant routine sources of population health data</w:t>
      </w:r>
    </w:p>
    <w:p w:rsidRPr="00043AE2" w:rsidR="000F03D4" w:rsidP="00554A8E" w:rsidRDefault="000F03D4" w14:paraId="7A968F52"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and contributing to population health status assessment</w:t>
      </w:r>
    </w:p>
    <w:p w:rsidRPr="00043AE2" w:rsidR="000F03D4" w:rsidP="00554A8E" w:rsidRDefault="000F03D4" w14:paraId="7D053A37"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and contributing to population health and healthcare needs assessment</w:t>
      </w:r>
    </w:p>
    <w:p w:rsidRPr="00043AE2" w:rsidR="000F03D4" w:rsidP="00554A8E" w:rsidRDefault="000F03D4" w14:paraId="4C9752E1"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and explaining risk at individual and population level</w:t>
      </w:r>
    </w:p>
    <w:p w:rsidRPr="00043AE2" w:rsidR="000F03D4" w:rsidP="00554A8E" w:rsidRDefault="000F03D4" w14:paraId="6453682A" w14:textId="77777777">
      <w:pPr>
        <w:pStyle w:val="ListParagraph"/>
        <w:numPr>
          <w:ilvl w:val="0"/>
          <w:numId w:val="23"/>
        </w:numPr>
        <w:rPr>
          <w:rFonts w:ascii="Arial" w:hAnsi="Arial" w:cs="Arial"/>
          <w:sz w:val="24"/>
          <w:szCs w:val="24"/>
        </w:rPr>
      </w:pPr>
      <w:r w:rsidRPr="00043AE2">
        <w:rPr>
          <w:rFonts w:ascii="Arial" w:hAnsi="Arial" w:cs="Arial"/>
          <w:sz w:val="24"/>
          <w:szCs w:val="24"/>
        </w:rPr>
        <w:t>Appreciating ethical dimensions and resource distribution in health and social care</w:t>
      </w:r>
    </w:p>
    <w:p w:rsidRPr="00043AE2" w:rsidR="000F03D4" w:rsidP="00554A8E" w:rsidRDefault="000F03D4" w14:paraId="6ECFF8B5" w14:textId="77777777">
      <w:pPr>
        <w:pStyle w:val="ListParagraph"/>
        <w:numPr>
          <w:ilvl w:val="0"/>
          <w:numId w:val="23"/>
        </w:numPr>
        <w:rPr>
          <w:rFonts w:ascii="Arial" w:hAnsi="Arial" w:cs="Arial"/>
          <w:sz w:val="24"/>
          <w:szCs w:val="24"/>
        </w:rPr>
      </w:pPr>
      <w:r w:rsidRPr="00043AE2">
        <w:rPr>
          <w:rFonts w:ascii="Arial" w:hAnsi="Arial" w:cs="Arial"/>
          <w:sz w:val="24"/>
          <w:szCs w:val="24"/>
        </w:rPr>
        <w:t>Encouraging healthier behaviours: understanding behaviour change to improve health</w:t>
      </w:r>
    </w:p>
    <w:p w:rsidRPr="00043AE2" w:rsidR="000F03D4" w:rsidP="00554A8E" w:rsidRDefault="000F03D4" w14:paraId="3B8535B5" w14:textId="77777777">
      <w:pPr>
        <w:pStyle w:val="ListParagraph"/>
        <w:numPr>
          <w:ilvl w:val="0"/>
          <w:numId w:val="23"/>
        </w:numPr>
        <w:rPr>
          <w:rFonts w:ascii="Arial" w:hAnsi="Arial" w:cs="Arial"/>
          <w:sz w:val="24"/>
          <w:szCs w:val="24"/>
        </w:rPr>
      </w:pPr>
      <w:r w:rsidRPr="00043AE2">
        <w:rPr>
          <w:rFonts w:ascii="Arial" w:hAnsi="Arial" w:cs="Arial"/>
          <w:sz w:val="24"/>
          <w:szCs w:val="24"/>
        </w:rPr>
        <w:t>Understanding leadership and project management approaches for achieving population health improvement</w:t>
      </w:r>
      <w:r>
        <w:rPr>
          <w:rFonts w:ascii="Arial" w:hAnsi="Arial" w:cs="Arial"/>
          <w:sz w:val="24"/>
          <w:szCs w:val="24"/>
        </w:rPr>
        <w:t>.</w:t>
      </w:r>
    </w:p>
    <w:p w:rsidRPr="000F03D4" w:rsidR="000F03D4" w:rsidP="000F03D4" w:rsidRDefault="000F03D4" w14:paraId="2B4A11B1" w14:textId="77777777"/>
    <w:p w:rsidR="004D7A1E" w:rsidP="004D7A1E" w:rsidRDefault="004D7A1E" w14:paraId="79C1F1EF" w14:textId="77777777">
      <w:pPr>
        <w:pStyle w:val="BodyText"/>
      </w:pPr>
    </w:p>
    <w:p w:rsidR="004D7A1E" w:rsidP="004D7A1E" w:rsidRDefault="004D7A1E" w14:paraId="206B64C6" w14:textId="77777777">
      <w:pPr>
        <w:pStyle w:val="BodyText"/>
      </w:pPr>
    </w:p>
    <w:p w:rsidRPr="00737D01" w:rsidR="004D7A1E" w:rsidP="004D7A1E" w:rsidRDefault="004D7A1E" w14:paraId="5305B8A6" w14:textId="77777777">
      <w:pPr>
        <w:pStyle w:val="BodyText"/>
        <w:rPr>
          <w:rFonts w:cs="Arial"/>
        </w:rPr>
      </w:pPr>
    </w:p>
    <w:p w:rsidR="004D7A1E" w:rsidP="00107CF7" w:rsidRDefault="004D7A1E" w14:paraId="6321DF2E" w14:textId="77777777"/>
    <w:p w:rsidRPr="00DA527C" w:rsidR="00933394" w:rsidP="00DA527C" w:rsidRDefault="00933394" w14:paraId="032A35F0" w14:textId="2800DE27"/>
    <w:sectPr w:rsidRPr="00DA527C" w:rsidR="00933394" w:rsidSect="00271A5C">
      <w:headerReference w:type="even" r:id="rId18"/>
      <w:headerReference w:type="default" r:id="rId19"/>
      <w:footerReference w:type="even" r:id="rId20"/>
      <w:footerReference w:type="default" r:id="rId21"/>
      <w:headerReference w:type="first" r:id="rId22"/>
      <w:footerReference w:type="first" r:id="rId23"/>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2432" w:rsidP="00AC72FD" w:rsidRDefault="00282432" w14:paraId="588CA917" w14:textId="77777777">
      <w:r>
        <w:separator/>
      </w:r>
    </w:p>
  </w:endnote>
  <w:endnote w:type="continuationSeparator" w:id="0">
    <w:p w:rsidR="00282432" w:rsidP="00AC72FD" w:rsidRDefault="00282432" w14:paraId="557A0EED" w14:textId="77777777">
      <w:r>
        <w:continuationSeparator/>
      </w:r>
    </w:p>
  </w:endnote>
  <w:endnote w:type="continuationNotice" w:id="1">
    <w:p w:rsidR="00282432" w:rsidRDefault="00282432" w14:paraId="53E3F9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A1E" w:rsidP="00184133" w:rsidRDefault="004D7A1E" w14:paraId="0F08EAD4" w14:textId="270EFA2A">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9C8">
      <w:rPr>
        <w:rStyle w:val="PageNumber"/>
        <w:noProof/>
      </w:rPr>
      <w:t>8</w:t>
    </w:r>
    <w:r>
      <w:rPr>
        <w:rStyle w:val="PageNumber"/>
      </w:rPr>
      <w:fldChar w:fldCharType="end"/>
    </w:r>
  </w:p>
  <w:p w:rsidR="004D7A1E" w:rsidP="0091039C" w:rsidRDefault="004D7A1E" w14:paraId="6425826F"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153104"/>
      <w:docPartObj>
        <w:docPartGallery w:val="Page Numbers (Bottom of Page)"/>
        <w:docPartUnique/>
      </w:docPartObj>
    </w:sdtPr>
    <w:sdtEndPr>
      <w:rPr>
        <w:noProof/>
      </w:rPr>
    </w:sdtEndPr>
    <w:sdtContent>
      <w:p w:rsidR="004D7A1E" w:rsidRDefault="004D7A1E" w14:paraId="25DA9837" w14:textId="77777777">
        <w:pPr>
          <w:pStyle w:val="Footer"/>
          <w:jc w:val="center"/>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4D7A1E" w:rsidP="007F2CB8" w:rsidRDefault="004D7A1E" w14:paraId="4E0E458E"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7A1E" w:rsidRDefault="004D7A1E" w14:paraId="234DB598" w14:textId="77777777">
    <w:pPr>
      <w:pStyle w:val="Foote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rsidR="004D7A1E" w:rsidRDefault="004D7A1E" w14:paraId="773C443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705A" w:rsidRDefault="00F6705A" w14:paraId="73DB9BE4" w14:textId="1F75C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2432" w:rsidP="00AC72FD" w:rsidRDefault="00282432" w14:paraId="51DB3635" w14:textId="77777777">
      <w:r>
        <w:separator/>
      </w:r>
    </w:p>
  </w:footnote>
  <w:footnote w:type="continuationSeparator" w:id="0">
    <w:p w:rsidR="00282432" w:rsidP="00AC72FD" w:rsidRDefault="00282432" w14:paraId="6DC42F00" w14:textId="77777777">
      <w:r>
        <w:continuationSeparator/>
      </w:r>
    </w:p>
  </w:footnote>
  <w:footnote w:type="continuationNotice" w:id="1">
    <w:p w:rsidR="00282432" w:rsidRDefault="00282432" w14:paraId="719DF9A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0A91" w:rsidR="004D7A1E" w:rsidP="00864D69" w:rsidRDefault="004D7A1E" w14:paraId="1D89A567" w14:textId="2485C2B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7A1E" w:rsidP="00864D69" w:rsidRDefault="00083DB4" w14:paraId="53FE97BC" w14:textId="741DFCB8">
    <w:pPr>
      <w:pStyle w:val="Header"/>
      <w:jc w:val="right"/>
    </w:pPr>
    <w:r>
      <w:rPr>
        <w:noProof/>
      </w:rPr>
      <w:drawing>
        <wp:inline distT="0" distB="0" distL="0" distR="0" wp14:anchorId="3D75221E" wp14:editId="51AABBBA">
          <wp:extent cx="812800" cy="6096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E52" w:rsidRDefault="00871E52" w14:paraId="67B4BA5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C72FD" w:rsidR="00ED2809" w:rsidP="00964AF4" w:rsidRDefault="004D7A1E" w14:paraId="47A7E1D7" w14:textId="0EC67E2F">
    <w:pPr>
      <w:pStyle w:val="Heading2"/>
      <w:spacing w:after="400"/>
      <w:jc w:val="right"/>
    </w:pPr>
    <w:r>
      <w:t>Population Health Fellowship – Rough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71E52" w:rsidRDefault="00663992" w14:paraId="58F6DCD3" w14:textId="63B042D3">
    <w:pPr>
      <w:pStyle w:val="Header"/>
    </w:pPr>
    <w:r>
      <w:t xml:space="preserve">                                                                                                                                     </w:t>
    </w:r>
    <w:r>
      <w:rPr>
        <w:noProof/>
      </w:rPr>
      <w:drawing>
        <wp:inline distT="0" distB="0" distL="0" distR="0" wp14:anchorId="16A1DF72" wp14:editId="5B05CDC3">
          <wp:extent cx="812800" cy="609600"/>
          <wp:effectExtent l="0" t="0" r="6350" b="0"/>
          <wp:docPr id="940984266" name="Picture 9409842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64B"/>
    <w:multiLevelType w:val="hybridMultilevel"/>
    <w:tmpl w:val="BEE8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B4743"/>
    <w:multiLevelType w:val="hybridMultilevel"/>
    <w:tmpl w:val="517C8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92668D"/>
    <w:multiLevelType w:val="hybridMultilevel"/>
    <w:tmpl w:val="6958CCD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8B05199"/>
    <w:multiLevelType w:val="hybridMultilevel"/>
    <w:tmpl w:val="1028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847A9"/>
    <w:multiLevelType w:val="hybridMultilevel"/>
    <w:tmpl w:val="BB543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DE1514"/>
    <w:multiLevelType w:val="hybridMultilevel"/>
    <w:tmpl w:val="BEE4D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379B8"/>
    <w:multiLevelType w:val="hybridMultilevel"/>
    <w:tmpl w:val="7B0E5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47343"/>
    <w:multiLevelType w:val="hybridMultilevel"/>
    <w:tmpl w:val="210E9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31D3C"/>
    <w:multiLevelType w:val="hybridMultilevel"/>
    <w:tmpl w:val="7AA6A6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EC556E3"/>
    <w:multiLevelType w:val="hybridMultilevel"/>
    <w:tmpl w:val="2D961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2A6BFE"/>
    <w:multiLevelType w:val="hybridMultilevel"/>
    <w:tmpl w:val="D95AD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0115BE"/>
    <w:multiLevelType w:val="hybridMultilevel"/>
    <w:tmpl w:val="7AAEE588"/>
    <w:lvl w:ilvl="0" w:tplc="08090001">
      <w:start w:val="1"/>
      <w:numFmt w:val="bullet"/>
      <w:lvlText w:val=""/>
      <w:lvlJc w:val="left"/>
      <w:pPr>
        <w:ind w:left="832" w:hanging="360"/>
      </w:pPr>
      <w:rPr>
        <w:rFonts w:hint="default" w:ascii="Symbol" w:hAnsi="Symbol"/>
      </w:rPr>
    </w:lvl>
    <w:lvl w:ilvl="1" w:tplc="08090003" w:tentative="1">
      <w:start w:val="1"/>
      <w:numFmt w:val="bullet"/>
      <w:lvlText w:val="o"/>
      <w:lvlJc w:val="left"/>
      <w:pPr>
        <w:ind w:left="1552" w:hanging="360"/>
      </w:pPr>
      <w:rPr>
        <w:rFonts w:hint="default" w:ascii="Courier New" w:hAnsi="Courier New" w:cs="Courier New"/>
      </w:rPr>
    </w:lvl>
    <w:lvl w:ilvl="2" w:tplc="08090005" w:tentative="1">
      <w:start w:val="1"/>
      <w:numFmt w:val="bullet"/>
      <w:lvlText w:val=""/>
      <w:lvlJc w:val="left"/>
      <w:pPr>
        <w:ind w:left="2272" w:hanging="360"/>
      </w:pPr>
      <w:rPr>
        <w:rFonts w:hint="default" w:ascii="Wingdings" w:hAnsi="Wingdings"/>
      </w:rPr>
    </w:lvl>
    <w:lvl w:ilvl="3" w:tplc="08090001" w:tentative="1">
      <w:start w:val="1"/>
      <w:numFmt w:val="bullet"/>
      <w:lvlText w:val=""/>
      <w:lvlJc w:val="left"/>
      <w:pPr>
        <w:ind w:left="2992" w:hanging="360"/>
      </w:pPr>
      <w:rPr>
        <w:rFonts w:hint="default" w:ascii="Symbol" w:hAnsi="Symbol"/>
      </w:rPr>
    </w:lvl>
    <w:lvl w:ilvl="4" w:tplc="08090003" w:tentative="1">
      <w:start w:val="1"/>
      <w:numFmt w:val="bullet"/>
      <w:lvlText w:val="o"/>
      <w:lvlJc w:val="left"/>
      <w:pPr>
        <w:ind w:left="3712" w:hanging="360"/>
      </w:pPr>
      <w:rPr>
        <w:rFonts w:hint="default" w:ascii="Courier New" w:hAnsi="Courier New" w:cs="Courier New"/>
      </w:rPr>
    </w:lvl>
    <w:lvl w:ilvl="5" w:tplc="08090005" w:tentative="1">
      <w:start w:val="1"/>
      <w:numFmt w:val="bullet"/>
      <w:lvlText w:val=""/>
      <w:lvlJc w:val="left"/>
      <w:pPr>
        <w:ind w:left="4432" w:hanging="360"/>
      </w:pPr>
      <w:rPr>
        <w:rFonts w:hint="default" w:ascii="Wingdings" w:hAnsi="Wingdings"/>
      </w:rPr>
    </w:lvl>
    <w:lvl w:ilvl="6" w:tplc="08090001" w:tentative="1">
      <w:start w:val="1"/>
      <w:numFmt w:val="bullet"/>
      <w:lvlText w:val=""/>
      <w:lvlJc w:val="left"/>
      <w:pPr>
        <w:ind w:left="5152" w:hanging="360"/>
      </w:pPr>
      <w:rPr>
        <w:rFonts w:hint="default" w:ascii="Symbol" w:hAnsi="Symbol"/>
      </w:rPr>
    </w:lvl>
    <w:lvl w:ilvl="7" w:tplc="08090003" w:tentative="1">
      <w:start w:val="1"/>
      <w:numFmt w:val="bullet"/>
      <w:lvlText w:val="o"/>
      <w:lvlJc w:val="left"/>
      <w:pPr>
        <w:ind w:left="5872" w:hanging="360"/>
      </w:pPr>
      <w:rPr>
        <w:rFonts w:hint="default" w:ascii="Courier New" w:hAnsi="Courier New" w:cs="Courier New"/>
      </w:rPr>
    </w:lvl>
    <w:lvl w:ilvl="8" w:tplc="08090005" w:tentative="1">
      <w:start w:val="1"/>
      <w:numFmt w:val="bullet"/>
      <w:lvlText w:val=""/>
      <w:lvlJc w:val="left"/>
      <w:pPr>
        <w:ind w:left="6592" w:hanging="360"/>
      </w:pPr>
      <w:rPr>
        <w:rFonts w:hint="default" w:ascii="Wingdings" w:hAnsi="Wingdings"/>
      </w:rPr>
    </w:lvl>
  </w:abstractNum>
  <w:abstractNum w:abstractNumId="12" w15:restartNumberingAfterBreak="0">
    <w:nsid w:val="40D437BD"/>
    <w:multiLevelType w:val="hybridMultilevel"/>
    <w:tmpl w:val="1A5829D4"/>
    <w:lvl w:ilvl="0" w:tplc="08090001">
      <w:start w:val="1"/>
      <w:numFmt w:val="bullet"/>
      <w:lvlText w:val=""/>
      <w:lvlJc w:val="left"/>
      <w:pPr>
        <w:ind w:left="832" w:hanging="360"/>
      </w:pPr>
      <w:rPr>
        <w:rFonts w:hint="default" w:ascii="Symbol" w:hAnsi="Symbol"/>
      </w:rPr>
    </w:lvl>
    <w:lvl w:ilvl="1" w:tplc="08090003" w:tentative="1">
      <w:start w:val="1"/>
      <w:numFmt w:val="bullet"/>
      <w:lvlText w:val="o"/>
      <w:lvlJc w:val="left"/>
      <w:pPr>
        <w:ind w:left="1552" w:hanging="360"/>
      </w:pPr>
      <w:rPr>
        <w:rFonts w:hint="default" w:ascii="Courier New" w:hAnsi="Courier New" w:cs="Courier New"/>
      </w:rPr>
    </w:lvl>
    <w:lvl w:ilvl="2" w:tplc="08090005" w:tentative="1">
      <w:start w:val="1"/>
      <w:numFmt w:val="bullet"/>
      <w:lvlText w:val=""/>
      <w:lvlJc w:val="left"/>
      <w:pPr>
        <w:ind w:left="2272" w:hanging="360"/>
      </w:pPr>
      <w:rPr>
        <w:rFonts w:hint="default" w:ascii="Wingdings" w:hAnsi="Wingdings"/>
      </w:rPr>
    </w:lvl>
    <w:lvl w:ilvl="3" w:tplc="08090001" w:tentative="1">
      <w:start w:val="1"/>
      <w:numFmt w:val="bullet"/>
      <w:lvlText w:val=""/>
      <w:lvlJc w:val="left"/>
      <w:pPr>
        <w:ind w:left="2992" w:hanging="360"/>
      </w:pPr>
      <w:rPr>
        <w:rFonts w:hint="default" w:ascii="Symbol" w:hAnsi="Symbol"/>
      </w:rPr>
    </w:lvl>
    <w:lvl w:ilvl="4" w:tplc="08090003" w:tentative="1">
      <w:start w:val="1"/>
      <w:numFmt w:val="bullet"/>
      <w:lvlText w:val="o"/>
      <w:lvlJc w:val="left"/>
      <w:pPr>
        <w:ind w:left="3712" w:hanging="360"/>
      </w:pPr>
      <w:rPr>
        <w:rFonts w:hint="default" w:ascii="Courier New" w:hAnsi="Courier New" w:cs="Courier New"/>
      </w:rPr>
    </w:lvl>
    <w:lvl w:ilvl="5" w:tplc="08090005" w:tentative="1">
      <w:start w:val="1"/>
      <w:numFmt w:val="bullet"/>
      <w:lvlText w:val=""/>
      <w:lvlJc w:val="left"/>
      <w:pPr>
        <w:ind w:left="4432" w:hanging="360"/>
      </w:pPr>
      <w:rPr>
        <w:rFonts w:hint="default" w:ascii="Wingdings" w:hAnsi="Wingdings"/>
      </w:rPr>
    </w:lvl>
    <w:lvl w:ilvl="6" w:tplc="08090001" w:tentative="1">
      <w:start w:val="1"/>
      <w:numFmt w:val="bullet"/>
      <w:lvlText w:val=""/>
      <w:lvlJc w:val="left"/>
      <w:pPr>
        <w:ind w:left="5152" w:hanging="360"/>
      </w:pPr>
      <w:rPr>
        <w:rFonts w:hint="default" w:ascii="Symbol" w:hAnsi="Symbol"/>
      </w:rPr>
    </w:lvl>
    <w:lvl w:ilvl="7" w:tplc="08090003" w:tentative="1">
      <w:start w:val="1"/>
      <w:numFmt w:val="bullet"/>
      <w:lvlText w:val="o"/>
      <w:lvlJc w:val="left"/>
      <w:pPr>
        <w:ind w:left="5872" w:hanging="360"/>
      </w:pPr>
      <w:rPr>
        <w:rFonts w:hint="default" w:ascii="Courier New" w:hAnsi="Courier New" w:cs="Courier New"/>
      </w:rPr>
    </w:lvl>
    <w:lvl w:ilvl="8" w:tplc="08090005" w:tentative="1">
      <w:start w:val="1"/>
      <w:numFmt w:val="bullet"/>
      <w:lvlText w:val=""/>
      <w:lvlJc w:val="left"/>
      <w:pPr>
        <w:ind w:left="6592" w:hanging="360"/>
      </w:pPr>
      <w:rPr>
        <w:rFonts w:hint="default" w:ascii="Wingdings" w:hAnsi="Wingdings"/>
      </w:rPr>
    </w:lvl>
  </w:abstractNum>
  <w:abstractNum w:abstractNumId="13" w15:restartNumberingAfterBreak="0">
    <w:nsid w:val="43E43741"/>
    <w:multiLevelType w:val="hybridMultilevel"/>
    <w:tmpl w:val="6262A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CBD2577"/>
    <w:multiLevelType w:val="hybridMultilevel"/>
    <w:tmpl w:val="6E3A2B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45698"/>
    <w:multiLevelType w:val="hybridMultilevel"/>
    <w:tmpl w:val="FE862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F071B"/>
    <w:multiLevelType w:val="hybridMultilevel"/>
    <w:tmpl w:val="1416FFE4"/>
    <w:lvl w:ilvl="0" w:tplc="1B029D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429C1"/>
    <w:multiLevelType w:val="hybridMultilevel"/>
    <w:tmpl w:val="3A343014"/>
    <w:lvl w:ilvl="0" w:tplc="08090001">
      <w:start w:val="1"/>
      <w:numFmt w:val="bullet"/>
      <w:lvlText w:val=""/>
      <w:lvlJc w:val="left"/>
      <w:pPr>
        <w:ind w:left="832" w:hanging="360"/>
      </w:pPr>
      <w:rPr>
        <w:rFonts w:hint="default" w:ascii="Symbol" w:hAnsi="Symbol"/>
      </w:rPr>
    </w:lvl>
    <w:lvl w:ilvl="1" w:tplc="08090003" w:tentative="1">
      <w:start w:val="1"/>
      <w:numFmt w:val="bullet"/>
      <w:lvlText w:val="o"/>
      <w:lvlJc w:val="left"/>
      <w:pPr>
        <w:ind w:left="1552" w:hanging="360"/>
      </w:pPr>
      <w:rPr>
        <w:rFonts w:hint="default" w:ascii="Courier New" w:hAnsi="Courier New" w:cs="Courier New"/>
      </w:rPr>
    </w:lvl>
    <w:lvl w:ilvl="2" w:tplc="08090005" w:tentative="1">
      <w:start w:val="1"/>
      <w:numFmt w:val="bullet"/>
      <w:lvlText w:val=""/>
      <w:lvlJc w:val="left"/>
      <w:pPr>
        <w:ind w:left="2272" w:hanging="360"/>
      </w:pPr>
      <w:rPr>
        <w:rFonts w:hint="default" w:ascii="Wingdings" w:hAnsi="Wingdings"/>
      </w:rPr>
    </w:lvl>
    <w:lvl w:ilvl="3" w:tplc="08090001" w:tentative="1">
      <w:start w:val="1"/>
      <w:numFmt w:val="bullet"/>
      <w:lvlText w:val=""/>
      <w:lvlJc w:val="left"/>
      <w:pPr>
        <w:ind w:left="2992" w:hanging="360"/>
      </w:pPr>
      <w:rPr>
        <w:rFonts w:hint="default" w:ascii="Symbol" w:hAnsi="Symbol"/>
      </w:rPr>
    </w:lvl>
    <w:lvl w:ilvl="4" w:tplc="08090003" w:tentative="1">
      <w:start w:val="1"/>
      <w:numFmt w:val="bullet"/>
      <w:lvlText w:val="o"/>
      <w:lvlJc w:val="left"/>
      <w:pPr>
        <w:ind w:left="3712" w:hanging="360"/>
      </w:pPr>
      <w:rPr>
        <w:rFonts w:hint="default" w:ascii="Courier New" w:hAnsi="Courier New" w:cs="Courier New"/>
      </w:rPr>
    </w:lvl>
    <w:lvl w:ilvl="5" w:tplc="08090005" w:tentative="1">
      <w:start w:val="1"/>
      <w:numFmt w:val="bullet"/>
      <w:lvlText w:val=""/>
      <w:lvlJc w:val="left"/>
      <w:pPr>
        <w:ind w:left="4432" w:hanging="360"/>
      </w:pPr>
      <w:rPr>
        <w:rFonts w:hint="default" w:ascii="Wingdings" w:hAnsi="Wingdings"/>
      </w:rPr>
    </w:lvl>
    <w:lvl w:ilvl="6" w:tplc="08090001" w:tentative="1">
      <w:start w:val="1"/>
      <w:numFmt w:val="bullet"/>
      <w:lvlText w:val=""/>
      <w:lvlJc w:val="left"/>
      <w:pPr>
        <w:ind w:left="5152" w:hanging="360"/>
      </w:pPr>
      <w:rPr>
        <w:rFonts w:hint="default" w:ascii="Symbol" w:hAnsi="Symbol"/>
      </w:rPr>
    </w:lvl>
    <w:lvl w:ilvl="7" w:tplc="08090003" w:tentative="1">
      <w:start w:val="1"/>
      <w:numFmt w:val="bullet"/>
      <w:lvlText w:val="o"/>
      <w:lvlJc w:val="left"/>
      <w:pPr>
        <w:ind w:left="5872" w:hanging="360"/>
      </w:pPr>
      <w:rPr>
        <w:rFonts w:hint="default" w:ascii="Courier New" w:hAnsi="Courier New" w:cs="Courier New"/>
      </w:rPr>
    </w:lvl>
    <w:lvl w:ilvl="8" w:tplc="08090005" w:tentative="1">
      <w:start w:val="1"/>
      <w:numFmt w:val="bullet"/>
      <w:lvlText w:val=""/>
      <w:lvlJc w:val="left"/>
      <w:pPr>
        <w:ind w:left="6592" w:hanging="360"/>
      </w:pPr>
      <w:rPr>
        <w:rFonts w:hint="default" w:ascii="Wingdings" w:hAnsi="Wingdings"/>
      </w:rPr>
    </w:lvl>
  </w:abstractNum>
  <w:abstractNum w:abstractNumId="18" w15:restartNumberingAfterBreak="0">
    <w:nsid w:val="63E47FCA"/>
    <w:multiLevelType w:val="hybridMultilevel"/>
    <w:tmpl w:val="943C3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6912105"/>
    <w:multiLevelType w:val="hybridMultilevel"/>
    <w:tmpl w:val="6178AFAC"/>
    <w:lvl w:ilvl="0" w:tplc="31BC66B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A533D7"/>
    <w:multiLevelType w:val="hybridMultilevel"/>
    <w:tmpl w:val="8EA843B2"/>
    <w:lvl w:ilvl="0" w:tplc="72B64C72">
      <w:start w:val="1"/>
      <w:numFmt w:val="decimal"/>
      <w:lvlText w:val="%1. "/>
      <w:lvlJc w:val="left"/>
      <w:pPr>
        <w:tabs>
          <w:tab w:val="num" w:pos="283"/>
        </w:tabs>
        <w:ind w:left="566" w:hanging="283"/>
      </w:pPr>
      <w:rPr>
        <w:rFonts w:hint="default"/>
        <w:b w:val="0"/>
        <w:i w:val="0"/>
        <w:sz w:val="24"/>
      </w:rPr>
    </w:lvl>
    <w:lvl w:ilvl="1" w:tplc="08090019" w:tentative="1">
      <w:start w:val="1"/>
      <w:numFmt w:val="lowerLetter"/>
      <w:lvlText w:val="%2."/>
      <w:lvlJc w:val="left"/>
      <w:pPr>
        <w:tabs>
          <w:tab w:val="num" w:pos="643"/>
        </w:tabs>
        <w:ind w:left="643" w:hanging="360"/>
      </w:pPr>
    </w:lvl>
    <w:lvl w:ilvl="2" w:tplc="0809001B" w:tentative="1">
      <w:start w:val="1"/>
      <w:numFmt w:val="lowerRoman"/>
      <w:lvlText w:val="%3."/>
      <w:lvlJc w:val="right"/>
      <w:pPr>
        <w:tabs>
          <w:tab w:val="num" w:pos="1363"/>
        </w:tabs>
        <w:ind w:left="1363" w:hanging="180"/>
      </w:pPr>
    </w:lvl>
    <w:lvl w:ilvl="3" w:tplc="0809000F" w:tentative="1">
      <w:start w:val="1"/>
      <w:numFmt w:val="decimal"/>
      <w:lvlText w:val="%4."/>
      <w:lvlJc w:val="left"/>
      <w:pPr>
        <w:tabs>
          <w:tab w:val="num" w:pos="2083"/>
        </w:tabs>
        <w:ind w:left="2083" w:hanging="360"/>
      </w:pPr>
    </w:lvl>
    <w:lvl w:ilvl="4" w:tplc="08090019" w:tentative="1">
      <w:start w:val="1"/>
      <w:numFmt w:val="lowerLetter"/>
      <w:lvlText w:val="%5."/>
      <w:lvlJc w:val="left"/>
      <w:pPr>
        <w:tabs>
          <w:tab w:val="num" w:pos="2803"/>
        </w:tabs>
        <w:ind w:left="2803" w:hanging="360"/>
      </w:pPr>
    </w:lvl>
    <w:lvl w:ilvl="5" w:tplc="0809001B" w:tentative="1">
      <w:start w:val="1"/>
      <w:numFmt w:val="lowerRoman"/>
      <w:lvlText w:val="%6."/>
      <w:lvlJc w:val="right"/>
      <w:pPr>
        <w:tabs>
          <w:tab w:val="num" w:pos="3523"/>
        </w:tabs>
        <w:ind w:left="3523" w:hanging="180"/>
      </w:pPr>
    </w:lvl>
    <w:lvl w:ilvl="6" w:tplc="0809000F" w:tentative="1">
      <w:start w:val="1"/>
      <w:numFmt w:val="decimal"/>
      <w:lvlText w:val="%7."/>
      <w:lvlJc w:val="left"/>
      <w:pPr>
        <w:tabs>
          <w:tab w:val="num" w:pos="4243"/>
        </w:tabs>
        <w:ind w:left="4243" w:hanging="360"/>
      </w:pPr>
    </w:lvl>
    <w:lvl w:ilvl="7" w:tplc="08090019" w:tentative="1">
      <w:start w:val="1"/>
      <w:numFmt w:val="lowerLetter"/>
      <w:lvlText w:val="%8."/>
      <w:lvlJc w:val="left"/>
      <w:pPr>
        <w:tabs>
          <w:tab w:val="num" w:pos="4963"/>
        </w:tabs>
        <w:ind w:left="4963" w:hanging="360"/>
      </w:pPr>
    </w:lvl>
    <w:lvl w:ilvl="8" w:tplc="0809001B" w:tentative="1">
      <w:start w:val="1"/>
      <w:numFmt w:val="lowerRoman"/>
      <w:lvlText w:val="%9."/>
      <w:lvlJc w:val="right"/>
      <w:pPr>
        <w:tabs>
          <w:tab w:val="num" w:pos="5683"/>
        </w:tabs>
        <w:ind w:left="5683" w:hanging="180"/>
      </w:pPr>
    </w:lvl>
  </w:abstractNum>
  <w:abstractNum w:abstractNumId="21" w15:restartNumberingAfterBreak="0">
    <w:nsid w:val="76027542"/>
    <w:multiLevelType w:val="hybridMultilevel"/>
    <w:tmpl w:val="EF90E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262D5B"/>
    <w:multiLevelType w:val="hybridMultilevel"/>
    <w:tmpl w:val="6882E1F4"/>
    <w:lvl w:ilvl="0" w:tplc="08090001">
      <w:start w:val="1"/>
      <w:numFmt w:val="bullet"/>
      <w:lvlText w:val=""/>
      <w:lvlJc w:val="left"/>
      <w:pPr>
        <w:ind w:left="832" w:hanging="360"/>
      </w:pPr>
      <w:rPr>
        <w:rFonts w:hint="default" w:ascii="Symbol" w:hAnsi="Symbol"/>
      </w:rPr>
    </w:lvl>
    <w:lvl w:ilvl="1" w:tplc="08090003" w:tentative="1">
      <w:start w:val="1"/>
      <w:numFmt w:val="bullet"/>
      <w:lvlText w:val="o"/>
      <w:lvlJc w:val="left"/>
      <w:pPr>
        <w:ind w:left="1552" w:hanging="360"/>
      </w:pPr>
      <w:rPr>
        <w:rFonts w:hint="default" w:ascii="Courier New" w:hAnsi="Courier New" w:cs="Courier New"/>
      </w:rPr>
    </w:lvl>
    <w:lvl w:ilvl="2" w:tplc="08090005" w:tentative="1">
      <w:start w:val="1"/>
      <w:numFmt w:val="bullet"/>
      <w:lvlText w:val=""/>
      <w:lvlJc w:val="left"/>
      <w:pPr>
        <w:ind w:left="2272" w:hanging="360"/>
      </w:pPr>
      <w:rPr>
        <w:rFonts w:hint="default" w:ascii="Wingdings" w:hAnsi="Wingdings"/>
      </w:rPr>
    </w:lvl>
    <w:lvl w:ilvl="3" w:tplc="08090001" w:tentative="1">
      <w:start w:val="1"/>
      <w:numFmt w:val="bullet"/>
      <w:lvlText w:val=""/>
      <w:lvlJc w:val="left"/>
      <w:pPr>
        <w:ind w:left="2992" w:hanging="360"/>
      </w:pPr>
      <w:rPr>
        <w:rFonts w:hint="default" w:ascii="Symbol" w:hAnsi="Symbol"/>
      </w:rPr>
    </w:lvl>
    <w:lvl w:ilvl="4" w:tplc="08090003" w:tentative="1">
      <w:start w:val="1"/>
      <w:numFmt w:val="bullet"/>
      <w:lvlText w:val="o"/>
      <w:lvlJc w:val="left"/>
      <w:pPr>
        <w:ind w:left="3712" w:hanging="360"/>
      </w:pPr>
      <w:rPr>
        <w:rFonts w:hint="default" w:ascii="Courier New" w:hAnsi="Courier New" w:cs="Courier New"/>
      </w:rPr>
    </w:lvl>
    <w:lvl w:ilvl="5" w:tplc="08090005" w:tentative="1">
      <w:start w:val="1"/>
      <w:numFmt w:val="bullet"/>
      <w:lvlText w:val=""/>
      <w:lvlJc w:val="left"/>
      <w:pPr>
        <w:ind w:left="4432" w:hanging="360"/>
      </w:pPr>
      <w:rPr>
        <w:rFonts w:hint="default" w:ascii="Wingdings" w:hAnsi="Wingdings"/>
      </w:rPr>
    </w:lvl>
    <w:lvl w:ilvl="6" w:tplc="08090001" w:tentative="1">
      <w:start w:val="1"/>
      <w:numFmt w:val="bullet"/>
      <w:lvlText w:val=""/>
      <w:lvlJc w:val="left"/>
      <w:pPr>
        <w:ind w:left="5152" w:hanging="360"/>
      </w:pPr>
      <w:rPr>
        <w:rFonts w:hint="default" w:ascii="Symbol" w:hAnsi="Symbol"/>
      </w:rPr>
    </w:lvl>
    <w:lvl w:ilvl="7" w:tplc="08090003" w:tentative="1">
      <w:start w:val="1"/>
      <w:numFmt w:val="bullet"/>
      <w:lvlText w:val="o"/>
      <w:lvlJc w:val="left"/>
      <w:pPr>
        <w:ind w:left="5872" w:hanging="360"/>
      </w:pPr>
      <w:rPr>
        <w:rFonts w:hint="default" w:ascii="Courier New" w:hAnsi="Courier New" w:cs="Courier New"/>
      </w:rPr>
    </w:lvl>
    <w:lvl w:ilvl="8" w:tplc="08090005" w:tentative="1">
      <w:start w:val="1"/>
      <w:numFmt w:val="bullet"/>
      <w:lvlText w:val=""/>
      <w:lvlJc w:val="left"/>
      <w:pPr>
        <w:ind w:left="6592" w:hanging="360"/>
      </w:pPr>
      <w:rPr>
        <w:rFonts w:hint="default" w:ascii="Wingdings" w:hAnsi="Wingdings"/>
      </w:rPr>
    </w:lvl>
  </w:abstractNum>
  <w:num w:numId="1" w16cid:durableId="1192722251">
    <w:abstractNumId w:val="20"/>
  </w:num>
  <w:num w:numId="2" w16cid:durableId="1637174561">
    <w:abstractNumId w:val="5"/>
  </w:num>
  <w:num w:numId="3" w16cid:durableId="955987036">
    <w:abstractNumId w:val="3"/>
  </w:num>
  <w:num w:numId="4" w16cid:durableId="1038316394">
    <w:abstractNumId w:val="14"/>
  </w:num>
  <w:num w:numId="5" w16cid:durableId="557328646">
    <w:abstractNumId w:val="15"/>
  </w:num>
  <w:num w:numId="6" w16cid:durableId="1109935693">
    <w:abstractNumId w:val="6"/>
  </w:num>
  <w:num w:numId="7" w16cid:durableId="1135374736">
    <w:abstractNumId w:val="11"/>
  </w:num>
  <w:num w:numId="8" w16cid:durableId="269747022">
    <w:abstractNumId w:val="22"/>
  </w:num>
  <w:num w:numId="9" w16cid:durableId="2031568928">
    <w:abstractNumId w:val="17"/>
  </w:num>
  <w:num w:numId="10" w16cid:durableId="453058188">
    <w:abstractNumId w:val="12"/>
  </w:num>
  <w:num w:numId="11" w16cid:durableId="831264358">
    <w:abstractNumId w:val="10"/>
  </w:num>
  <w:num w:numId="12" w16cid:durableId="1392116798">
    <w:abstractNumId w:val="19"/>
  </w:num>
  <w:num w:numId="13" w16cid:durableId="708993497">
    <w:abstractNumId w:val="18"/>
  </w:num>
  <w:num w:numId="14" w16cid:durableId="924921980">
    <w:abstractNumId w:val="21"/>
  </w:num>
  <w:num w:numId="15" w16cid:durableId="1066024779">
    <w:abstractNumId w:val="13"/>
  </w:num>
  <w:num w:numId="16" w16cid:durableId="313872572">
    <w:abstractNumId w:val="4"/>
  </w:num>
  <w:num w:numId="17" w16cid:durableId="339894141">
    <w:abstractNumId w:val="7"/>
  </w:num>
  <w:num w:numId="18" w16cid:durableId="1643150094">
    <w:abstractNumId w:val="16"/>
  </w:num>
  <w:num w:numId="19" w16cid:durableId="2090232834">
    <w:abstractNumId w:val="8"/>
  </w:num>
  <w:num w:numId="20" w16cid:durableId="63718929">
    <w:abstractNumId w:val="1"/>
  </w:num>
  <w:num w:numId="21" w16cid:durableId="803042171">
    <w:abstractNumId w:val="9"/>
  </w:num>
  <w:num w:numId="22" w16cid:durableId="1155533290">
    <w:abstractNumId w:val="0"/>
  </w:num>
  <w:num w:numId="23" w16cid:durableId="104860770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47B"/>
    <w:rsid w:val="00030D4C"/>
    <w:rsid w:val="00033158"/>
    <w:rsid w:val="000339B1"/>
    <w:rsid w:val="00040E6D"/>
    <w:rsid w:val="000432D8"/>
    <w:rsid w:val="00062505"/>
    <w:rsid w:val="000639EC"/>
    <w:rsid w:val="00071CFF"/>
    <w:rsid w:val="00074EF9"/>
    <w:rsid w:val="00083DB4"/>
    <w:rsid w:val="00087720"/>
    <w:rsid w:val="000A5A50"/>
    <w:rsid w:val="000C2D2B"/>
    <w:rsid w:val="000C3097"/>
    <w:rsid w:val="000D1523"/>
    <w:rsid w:val="000E6E43"/>
    <w:rsid w:val="000F03D4"/>
    <w:rsid w:val="000F5330"/>
    <w:rsid w:val="001015E4"/>
    <w:rsid w:val="00101FB9"/>
    <w:rsid w:val="001038EF"/>
    <w:rsid w:val="00107060"/>
    <w:rsid w:val="00107A9D"/>
    <w:rsid w:val="00107CF7"/>
    <w:rsid w:val="00107FC1"/>
    <w:rsid w:val="001263B4"/>
    <w:rsid w:val="00135A54"/>
    <w:rsid w:val="00143071"/>
    <w:rsid w:val="001652C7"/>
    <w:rsid w:val="00173060"/>
    <w:rsid w:val="00184133"/>
    <w:rsid w:val="001A3B4D"/>
    <w:rsid w:val="001A70C0"/>
    <w:rsid w:val="001B004D"/>
    <w:rsid w:val="001C209F"/>
    <w:rsid w:val="001D4F3A"/>
    <w:rsid w:val="001E1BD6"/>
    <w:rsid w:val="001E6B61"/>
    <w:rsid w:val="001F44C3"/>
    <w:rsid w:val="001F504E"/>
    <w:rsid w:val="001F54D9"/>
    <w:rsid w:val="001F5D0F"/>
    <w:rsid w:val="00207D7B"/>
    <w:rsid w:val="00210764"/>
    <w:rsid w:val="00214162"/>
    <w:rsid w:val="0025038D"/>
    <w:rsid w:val="00250D4B"/>
    <w:rsid w:val="00251FDA"/>
    <w:rsid w:val="00256C4F"/>
    <w:rsid w:val="00266147"/>
    <w:rsid w:val="00271A5C"/>
    <w:rsid w:val="0027358F"/>
    <w:rsid w:val="00282432"/>
    <w:rsid w:val="002B0384"/>
    <w:rsid w:val="002C7380"/>
    <w:rsid w:val="002C7B55"/>
    <w:rsid w:val="002D10B5"/>
    <w:rsid w:val="002D30D0"/>
    <w:rsid w:val="002D6254"/>
    <w:rsid w:val="002D6889"/>
    <w:rsid w:val="002E49BA"/>
    <w:rsid w:val="002E770F"/>
    <w:rsid w:val="002F00DD"/>
    <w:rsid w:val="0030351A"/>
    <w:rsid w:val="00304179"/>
    <w:rsid w:val="0030700B"/>
    <w:rsid w:val="003132C2"/>
    <w:rsid w:val="00317F85"/>
    <w:rsid w:val="0032462A"/>
    <w:rsid w:val="0033395D"/>
    <w:rsid w:val="003417A1"/>
    <w:rsid w:val="003439FD"/>
    <w:rsid w:val="00345E11"/>
    <w:rsid w:val="00350C7A"/>
    <w:rsid w:val="003667F7"/>
    <w:rsid w:val="00366C2F"/>
    <w:rsid w:val="0038015C"/>
    <w:rsid w:val="0038048C"/>
    <w:rsid w:val="00381D04"/>
    <w:rsid w:val="003832B1"/>
    <w:rsid w:val="003939C8"/>
    <w:rsid w:val="00397A75"/>
    <w:rsid w:val="003A0121"/>
    <w:rsid w:val="003B68F8"/>
    <w:rsid w:val="003E4783"/>
    <w:rsid w:val="00411A35"/>
    <w:rsid w:val="00411DD7"/>
    <w:rsid w:val="00415A40"/>
    <w:rsid w:val="0042708F"/>
    <w:rsid w:val="004303E9"/>
    <w:rsid w:val="00444B8E"/>
    <w:rsid w:val="00460835"/>
    <w:rsid w:val="00466AE5"/>
    <w:rsid w:val="00480918"/>
    <w:rsid w:val="00480FA1"/>
    <w:rsid w:val="004B6941"/>
    <w:rsid w:val="004C3954"/>
    <w:rsid w:val="004C7C61"/>
    <w:rsid w:val="004D04D4"/>
    <w:rsid w:val="004D7A1E"/>
    <w:rsid w:val="004E154D"/>
    <w:rsid w:val="004E7F9B"/>
    <w:rsid w:val="004F0F3D"/>
    <w:rsid w:val="004F288F"/>
    <w:rsid w:val="004F47A4"/>
    <w:rsid w:val="00511668"/>
    <w:rsid w:val="00514F3D"/>
    <w:rsid w:val="0052103F"/>
    <w:rsid w:val="00524967"/>
    <w:rsid w:val="005300FE"/>
    <w:rsid w:val="005304FD"/>
    <w:rsid w:val="00534938"/>
    <w:rsid w:val="00553283"/>
    <w:rsid w:val="0055417B"/>
    <w:rsid w:val="00554A8E"/>
    <w:rsid w:val="005755E0"/>
    <w:rsid w:val="00590564"/>
    <w:rsid w:val="0059587D"/>
    <w:rsid w:val="005A0BB6"/>
    <w:rsid w:val="005A5967"/>
    <w:rsid w:val="005A5ECE"/>
    <w:rsid w:val="005B4594"/>
    <w:rsid w:val="005B5650"/>
    <w:rsid w:val="005C7973"/>
    <w:rsid w:val="005C7ECA"/>
    <w:rsid w:val="005E0209"/>
    <w:rsid w:val="005E6DC9"/>
    <w:rsid w:val="00600B64"/>
    <w:rsid w:val="00627644"/>
    <w:rsid w:val="00631B8C"/>
    <w:rsid w:val="00636D6C"/>
    <w:rsid w:val="00640B8E"/>
    <w:rsid w:val="00641BF7"/>
    <w:rsid w:val="006527D9"/>
    <w:rsid w:val="00657C96"/>
    <w:rsid w:val="00663992"/>
    <w:rsid w:val="00680EA9"/>
    <w:rsid w:val="00683AD2"/>
    <w:rsid w:val="00685EEF"/>
    <w:rsid w:val="00687B18"/>
    <w:rsid w:val="00694170"/>
    <w:rsid w:val="0069666B"/>
    <w:rsid w:val="006A1C13"/>
    <w:rsid w:val="006A52AF"/>
    <w:rsid w:val="006B1A74"/>
    <w:rsid w:val="006B289F"/>
    <w:rsid w:val="006B5402"/>
    <w:rsid w:val="006D047E"/>
    <w:rsid w:val="006D57CD"/>
    <w:rsid w:val="006E7853"/>
    <w:rsid w:val="00717DDA"/>
    <w:rsid w:val="0072088A"/>
    <w:rsid w:val="00753FFE"/>
    <w:rsid w:val="00774E01"/>
    <w:rsid w:val="00776AA6"/>
    <w:rsid w:val="00782D6A"/>
    <w:rsid w:val="00786E4D"/>
    <w:rsid w:val="00790075"/>
    <w:rsid w:val="007A4032"/>
    <w:rsid w:val="007A4E87"/>
    <w:rsid w:val="007B0809"/>
    <w:rsid w:val="007B10C6"/>
    <w:rsid w:val="007E3B5A"/>
    <w:rsid w:val="007E65D8"/>
    <w:rsid w:val="007F2CB8"/>
    <w:rsid w:val="00811994"/>
    <w:rsid w:val="00812618"/>
    <w:rsid w:val="00824214"/>
    <w:rsid w:val="00824BF2"/>
    <w:rsid w:val="00827ED7"/>
    <w:rsid w:val="00830961"/>
    <w:rsid w:val="00832F64"/>
    <w:rsid w:val="008335BD"/>
    <w:rsid w:val="00845B6C"/>
    <w:rsid w:val="00861C74"/>
    <w:rsid w:val="00862A90"/>
    <w:rsid w:val="00864D69"/>
    <w:rsid w:val="00867B72"/>
    <w:rsid w:val="00871BC9"/>
    <w:rsid w:val="00871E52"/>
    <w:rsid w:val="00873940"/>
    <w:rsid w:val="00875EF6"/>
    <w:rsid w:val="0088563C"/>
    <w:rsid w:val="008A5774"/>
    <w:rsid w:val="008B0C2E"/>
    <w:rsid w:val="008F1A3E"/>
    <w:rsid w:val="009010B3"/>
    <w:rsid w:val="00906015"/>
    <w:rsid w:val="0091039C"/>
    <w:rsid w:val="0091587F"/>
    <w:rsid w:val="009160A9"/>
    <w:rsid w:val="00921AE1"/>
    <w:rsid w:val="00933394"/>
    <w:rsid w:val="00964035"/>
    <w:rsid w:val="009648C3"/>
    <w:rsid w:val="00964AF4"/>
    <w:rsid w:val="00971597"/>
    <w:rsid w:val="00972EB4"/>
    <w:rsid w:val="009A2A97"/>
    <w:rsid w:val="009C6A1E"/>
    <w:rsid w:val="009D32F5"/>
    <w:rsid w:val="009E2641"/>
    <w:rsid w:val="009E724A"/>
    <w:rsid w:val="009F6EC9"/>
    <w:rsid w:val="00A030ED"/>
    <w:rsid w:val="00A103FA"/>
    <w:rsid w:val="00A24930"/>
    <w:rsid w:val="00A373F4"/>
    <w:rsid w:val="00A41F17"/>
    <w:rsid w:val="00A531A3"/>
    <w:rsid w:val="00A541B0"/>
    <w:rsid w:val="00A544AA"/>
    <w:rsid w:val="00A55154"/>
    <w:rsid w:val="00A55B33"/>
    <w:rsid w:val="00A75574"/>
    <w:rsid w:val="00A76867"/>
    <w:rsid w:val="00A83E62"/>
    <w:rsid w:val="00A86EDD"/>
    <w:rsid w:val="00A90C5E"/>
    <w:rsid w:val="00A97CF1"/>
    <w:rsid w:val="00AA400D"/>
    <w:rsid w:val="00AB5043"/>
    <w:rsid w:val="00AC5DF1"/>
    <w:rsid w:val="00AC72FD"/>
    <w:rsid w:val="00AD3004"/>
    <w:rsid w:val="00AF153F"/>
    <w:rsid w:val="00B02348"/>
    <w:rsid w:val="00B26B90"/>
    <w:rsid w:val="00B44DC5"/>
    <w:rsid w:val="00B46EFF"/>
    <w:rsid w:val="00B64311"/>
    <w:rsid w:val="00B67EE9"/>
    <w:rsid w:val="00B83087"/>
    <w:rsid w:val="00B83AFD"/>
    <w:rsid w:val="00B95D30"/>
    <w:rsid w:val="00BA1B69"/>
    <w:rsid w:val="00BA3582"/>
    <w:rsid w:val="00BA404C"/>
    <w:rsid w:val="00BB2C27"/>
    <w:rsid w:val="00BB60D5"/>
    <w:rsid w:val="00BC3EE5"/>
    <w:rsid w:val="00BD135B"/>
    <w:rsid w:val="00BE25CE"/>
    <w:rsid w:val="00C127F3"/>
    <w:rsid w:val="00C17DC7"/>
    <w:rsid w:val="00C2180D"/>
    <w:rsid w:val="00C23937"/>
    <w:rsid w:val="00C404EC"/>
    <w:rsid w:val="00C52298"/>
    <w:rsid w:val="00C75D87"/>
    <w:rsid w:val="00C776D0"/>
    <w:rsid w:val="00C81BDB"/>
    <w:rsid w:val="00C8411B"/>
    <w:rsid w:val="00CA7EEA"/>
    <w:rsid w:val="00CB3FD7"/>
    <w:rsid w:val="00CB5B9B"/>
    <w:rsid w:val="00CB60FA"/>
    <w:rsid w:val="00CC1805"/>
    <w:rsid w:val="00CC57A3"/>
    <w:rsid w:val="00CC6128"/>
    <w:rsid w:val="00CD08F7"/>
    <w:rsid w:val="00CD0A77"/>
    <w:rsid w:val="00CF1551"/>
    <w:rsid w:val="00CF734D"/>
    <w:rsid w:val="00D006CF"/>
    <w:rsid w:val="00D231EC"/>
    <w:rsid w:val="00D34E1B"/>
    <w:rsid w:val="00D377EC"/>
    <w:rsid w:val="00D40C54"/>
    <w:rsid w:val="00D575D4"/>
    <w:rsid w:val="00D72C92"/>
    <w:rsid w:val="00D743DB"/>
    <w:rsid w:val="00D77835"/>
    <w:rsid w:val="00D92F44"/>
    <w:rsid w:val="00DA527C"/>
    <w:rsid w:val="00DB1FC9"/>
    <w:rsid w:val="00DF6A80"/>
    <w:rsid w:val="00E10B95"/>
    <w:rsid w:val="00E12E90"/>
    <w:rsid w:val="00E1506B"/>
    <w:rsid w:val="00E36B82"/>
    <w:rsid w:val="00E4130F"/>
    <w:rsid w:val="00E51CAE"/>
    <w:rsid w:val="00E5477E"/>
    <w:rsid w:val="00E54999"/>
    <w:rsid w:val="00E63ADB"/>
    <w:rsid w:val="00E642CA"/>
    <w:rsid w:val="00E676F2"/>
    <w:rsid w:val="00E711B2"/>
    <w:rsid w:val="00E74272"/>
    <w:rsid w:val="00E87707"/>
    <w:rsid w:val="00EA29F1"/>
    <w:rsid w:val="00EA3FAA"/>
    <w:rsid w:val="00EB1141"/>
    <w:rsid w:val="00EB30A9"/>
    <w:rsid w:val="00EB5990"/>
    <w:rsid w:val="00EC2A49"/>
    <w:rsid w:val="00ED2809"/>
    <w:rsid w:val="00ED34AB"/>
    <w:rsid w:val="00ED46E1"/>
    <w:rsid w:val="00EF142D"/>
    <w:rsid w:val="00F03C82"/>
    <w:rsid w:val="00F16E8C"/>
    <w:rsid w:val="00F322D9"/>
    <w:rsid w:val="00F33EE5"/>
    <w:rsid w:val="00F44625"/>
    <w:rsid w:val="00F5593D"/>
    <w:rsid w:val="00F55A84"/>
    <w:rsid w:val="00F65702"/>
    <w:rsid w:val="00F65874"/>
    <w:rsid w:val="00F6705A"/>
    <w:rsid w:val="00F678B6"/>
    <w:rsid w:val="00F753E3"/>
    <w:rsid w:val="00F900E2"/>
    <w:rsid w:val="00F9566C"/>
    <w:rsid w:val="00FA102D"/>
    <w:rsid w:val="00FB0FE2"/>
    <w:rsid w:val="00FB4107"/>
    <w:rsid w:val="00FC54F1"/>
    <w:rsid w:val="00FE7598"/>
    <w:rsid w:val="00FE7BD9"/>
    <w:rsid w:val="00FF0E83"/>
    <w:rsid w:val="00FF7588"/>
    <w:rsid w:val="03A13BC0"/>
    <w:rsid w:val="0701D076"/>
    <w:rsid w:val="0B882E1D"/>
    <w:rsid w:val="0F652C96"/>
    <w:rsid w:val="1F104114"/>
    <w:rsid w:val="28D85ACB"/>
    <w:rsid w:val="2E5CAA28"/>
    <w:rsid w:val="2F5D2C04"/>
    <w:rsid w:val="539439CF"/>
    <w:rsid w:val="5442882F"/>
    <w:rsid w:val="56CBDA91"/>
    <w:rsid w:val="6091E988"/>
    <w:rsid w:val="6E2BDA75"/>
    <w:rsid w:val="78EAA539"/>
    <w:rsid w:val="79A87A61"/>
    <w:rsid w:val="7CF2C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5D4AAD39-9F43-439B-9462-393C21766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BodyCopy" w:customStyle="1">
    <w:name w:val="BodyCopy"/>
    <w:basedOn w:val="Normal"/>
    <w:link w:val="BodyCopyChar"/>
    <w:rsid w:val="004D7A1E"/>
    <w:pPr>
      <w:spacing w:before="140" w:line="280" w:lineRule="exact"/>
    </w:pPr>
    <w:rPr>
      <w:rFonts w:eastAsia="Times New Roman" w:cs="Times New Roman"/>
      <w:sz w:val="22"/>
      <w:szCs w:val="20"/>
      <w:lang w:val="en-US"/>
    </w:rPr>
  </w:style>
  <w:style w:type="character" w:styleId="BodyCopyChar" w:customStyle="1">
    <w:name w:val="BodyCopy Char"/>
    <w:link w:val="BodyCopy"/>
    <w:rsid w:val="004D7A1E"/>
    <w:rPr>
      <w:rFonts w:eastAsia="Times New Roman" w:cs="Times New Roman"/>
      <w:sz w:val="22"/>
      <w:szCs w:val="20"/>
      <w:lang w:val="en-US"/>
    </w:rPr>
  </w:style>
  <w:style w:type="paragraph" w:styleId="ListParagraph">
    <w:name w:val="List Paragraph"/>
    <w:basedOn w:val="Normal"/>
    <w:uiPriority w:val="34"/>
    <w:qFormat/>
    <w:rsid w:val="004D7A1E"/>
    <w:pPr>
      <w:spacing w:after="200" w:line="276" w:lineRule="auto"/>
      <w:ind w:left="720"/>
      <w:contextualSpacing/>
    </w:pPr>
    <w:rPr>
      <w:rFonts w:asciiTheme="minorHAnsi" w:hAnsiTheme="minorHAnsi" w:eastAsiaTheme="minorHAnsi"/>
      <w:sz w:val="22"/>
      <w:szCs w:val="22"/>
    </w:rPr>
  </w:style>
  <w:style w:type="character" w:styleId="Hyperlink">
    <w:name w:val="Hyperlink"/>
    <w:basedOn w:val="DefaultParagraphFont"/>
    <w:uiPriority w:val="99"/>
    <w:unhideWhenUsed/>
    <w:rsid w:val="004D7A1E"/>
    <w:rPr>
      <w:color w:val="0563C1" w:themeColor="hyperlink"/>
      <w:u w:val="single"/>
    </w:rPr>
  </w:style>
  <w:style w:type="paragraph" w:styleId="BodyText">
    <w:name w:val="Body Text"/>
    <w:basedOn w:val="Normal"/>
    <w:link w:val="BodyTextChar"/>
    <w:uiPriority w:val="1"/>
    <w:qFormat/>
    <w:rsid w:val="004D7A1E"/>
    <w:pPr>
      <w:widowControl w:val="0"/>
      <w:ind w:left="112"/>
    </w:pPr>
    <w:rPr>
      <w:rFonts w:eastAsia="Arial"/>
      <w:lang w:val="en-US"/>
    </w:rPr>
  </w:style>
  <w:style w:type="character" w:styleId="BodyTextChar" w:customStyle="1">
    <w:name w:val="Body Text Char"/>
    <w:basedOn w:val="DefaultParagraphFont"/>
    <w:link w:val="BodyText"/>
    <w:uiPriority w:val="1"/>
    <w:rsid w:val="004D7A1E"/>
    <w:rPr>
      <w:rFonts w:eastAsia="Arial"/>
      <w:lang w:val="en-US"/>
    </w:rPr>
  </w:style>
  <w:style w:type="table" w:styleId="PlainTable1">
    <w:name w:val="Plain Table 1"/>
    <w:basedOn w:val="TableNormal"/>
    <w:uiPriority w:val="41"/>
    <w:rsid w:val="004D7A1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B5043"/>
    <w:rPr>
      <w:sz w:val="16"/>
      <w:szCs w:val="16"/>
    </w:rPr>
  </w:style>
  <w:style w:type="paragraph" w:styleId="CommentText">
    <w:name w:val="annotation text"/>
    <w:basedOn w:val="Normal"/>
    <w:link w:val="CommentTextChar"/>
    <w:uiPriority w:val="99"/>
    <w:semiHidden/>
    <w:unhideWhenUsed/>
    <w:rsid w:val="00AB5043"/>
    <w:rPr>
      <w:sz w:val="20"/>
      <w:szCs w:val="20"/>
    </w:rPr>
  </w:style>
  <w:style w:type="character" w:styleId="CommentTextChar" w:customStyle="1">
    <w:name w:val="Comment Text Char"/>
    <w:basedOn w:val="DefaultParagraphFont"/>
    <w:link w:val="CommentText"/>
    <w:uiPriority w:val="99"/>
    <w:semiHidden/>
    <w:rsid w:val="00AB5043"/>
    <w:rPr>
      <w:sz w:val="20"/>
      <w:szCs w:val="20"/>
    </w:rPr>
  </w:style>
  <w:style w:type="paragraph" w:styleId="CommentSubject">
    <w:name w:val="annotation subject"/>
    <w:basedOn w:val="CommentText"/>
    <w:next w:val="CommentText"/>
    <w:link w:val="CommentSubjectChar"/>
    <w:uiPriority w:val="99"/>
    <w:semiHidden/>
    <w:unhideWhenUsed/>
    <w:rsid w:val="00C52298"/>
    <w:rPr>
      <w:b/>
      <w:bCs/>
    </w:rPr>
  </w:style>
  <w:style w:type="character" w:styleId="CommentSubjectChar" w:customStyle="1">
    <w:name w:val="Comment Subject Char"/>
    <w:basedOn w:val="CommentTextChar"/>
    <w:link w:val="CommentSubject"/>
    <w:uiPriority w:val="99"/>
    <w:semiHidden/>
    <w:rsid w:val="00C52298"/>
    <w:rPr>
      <w:b/>
      <w:bCs/>
      <w:sz w:val="20"/>
      <w:szCs w:val="20"/>
    </w:rPr>
  </w:style>
  <w:style w:type="character" w:styleId="UnresolvedMention">
    <w:name w:val="Unresolved Mention"/>
    <w:basedOn w:val="DefaultParagraphFont"/>
    <w:uiPriority w:val="99"/>
    <w:unhideWhenUsed/>
    <w:rsid w:val="00F753E3"/>
    <w:rPr>
      <w:color w:val="605E5C"/>
      <w:shd w:val="clear" w:color="auto" w:fill="E1DFDD"/>
    </w:rPr>
  </w:style>
  <w:style w:type="character" w:styleId="Mention">
    <w:name w:val="Mention"/>
    <w:basedOn w:val="DefaultParagraphFont"/>
    <w:uiPriority w:val="99"/>
    <w:unhideWhenUsed/>
    <w:rsid w:val="00F753E3"/>
    <w:rPr>
      <w:color w:val="2B579A"/>
      <w:shd w:val="clear" w:color="auto" w:fill="E1DFDD"/>
    </w:rPr>
  </w:style>
  <w:style w:type="table" w:styleId="TableGrid">
    <w:name w:val="Table Grid"/>
    <w:basedOn w:val="TableNormal"/>
    <w:uiPriority w:val="59"/>
    <w:unhideWhenUsed/>
    <w:rsid w:val="00631B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34E1B"/>
  </w:style>
  <w:style w:type="paragraph" w:styleId="TOCHeading">
    <w:name w:val="TOC Heading"/>
    <w:basedOn w:val="Heading1"/>
    <w:next w:val="Normal"/>
    <w:uiPriority w:val="39"/>
    <w:unhideWhenUsed/>
    <w:qFormat/>
    <w:rsid w:val="0055417B"/>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paragraph" w:styleId="TOC1">
    <w:name w:val="toc 1"/>
    <w:basedOn w:val="Normal"/>
    <w:next w:val="Normal"/>
    <w:autoRedefine/>
    <w:uiPriority w:val="39"/>
    <w:unhideWhenUsed/>
    <w:rsid w:val="00083DB4"/>
    <w:pPr>
      <w:tabs>
        <w:tab w:val="right" w:leader="dot" w:pos="10188"/>
      </w:tabs>
      <w:spacing w:before="100" w:beforeAutospacing="1" w:after="100" w:afterAutospacing="1"/>
    </w:pPr>
    <w:rPr>
      <w:b/>
      <w:bCs/>
      <w:noProof/>
      <w:color w:val="00539A" w:themeColor="text2" w:themeShade="BF"/>
    </w:rPr>
  </w:style>
  <w:style w:type="paragraph" w:styleId="TOC2">
    <w:name w:val="toc 2"/>
    <w:basedOn w:val="Normal"/>
    <w:next w:val="Normal"/>
    <w:autoRedefine/>
    <w:uiPriority w:val="39"/>
    <w:unhideWhenUsed/>
    <w:rsid w:val="006B289F"/>
    <w:pPr>
      <w:tabs>
        <w:tab w:val="right" w:leader="dot" w:pos="10188"/>
      </w:tabs>
      <w:spacing w:after="100"/>
      <w:ind w:firstLine="240"/>
    </w:pPr>
  </w:style>
  <w:style w:type="paragraph" w:styleId="TOC3">
    <w:name w:val="toc 3"/>
    <w:basedOn w:val="Normal"/>
    <w:next w:val="Normal"/>
    <w:autoRedefine/>
    <w:uiPriority w:val="39"/>
    <w:unhideWhenUsed/>
    <w:rsid w:val="0055417B"/>
    <w:pPr>
      <w:spacing w:after="100"/>
      <w:ind w:left="480"/>
    </w:pPr>
  </w:style>
  <w:style w:type="character" w:styleId="FollowedHyperlink">
    <w:name w:val="FollowedHyperlink"/>
    <w:basedOn w:val="DefaultParagraphFont"/>
    <w:uiPriority w:val="99"/>
    <w:semiHidden/>
    <w:unhideWhenUsed/>
    <w:rsid w:val="001B0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5691">
      <w:bodyDiv w:val="1"/>
      <w:marLeft w:val="0"/>
      <w:marRight w:val="0"/>
      <w:marTop w:val="0"/>
      <w:marBottom w:val="0"/>
      <w:divBdr>
        <w:top w:val="none" w:sz="0" w:space="0" w:color="auto"/>
        <w:left w:val="none" w:sz="0" w:space="0" w:color="auto"/>
        <w:bottom w:val="none" w:sz="0" w:space="0" w:color="auto"/>
        <w:right w:val="none" w:sz="0" w:space="0" w:color="auto"/>
      </w:divBdr>
    </w:div>
    <w:div w:id="84499360">
      <w:bodyDiv w:val="1"/>
      <w:marLeft w:val="0"/>
      <w:marRight w:val="0"/>
      <w:marTop w:val="0"/>
      <w:marBottom w:val="0"/>
      <w:divBdr>
        <w:top w:val="none" w:sz="0" w:space="0" w:color="auto"/>
        <w:left w:val="none" w:sz="0" w:space="0" w:color="auto"/>
        <w:bottom w:val="none" w:sz="0" w:space="0" w:color="auto"/>
        <w:right w:val="none" w:sz="0" w:space="0" w:color="auto"/>
      </w:divBdr>
    </w:div>
    <w:div w:id="686905653">
      <w:bodyDiv w:val="1"/>
      <w:marLeft w:val="0"/>
      <w:marRight w:val="0"/>
      <w:marTop w:val="0"/>
      <w:marBottom w:val="0"/>
      <w:divBdr>
        <w:top w:val="none" w:sz="0" w:space="0" w:color="auto"/>
        <w:left w:val="none" w:sz="0" w:space="0" w:color="auto"/>
        <w:bottom w:val="none" w:sz="0" w:space="0" w:color="auto"/>
        <w:right w:val="none" w:sz="0" w:space="0" w:color="auto"/>
      </w:divBdr>
    </w:div>
    <w:div w:id="693195512">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47198969">
      <w:bodyDiv w:val="1"/>
      <w:marLeft w:val="0"/>
      <w:marRight w:val="0"/>
      <w:marTop w:val="0"/>
      <w:marBottom w:val="0"/>
      <w:divBdr>
        <w:top w:val="none" w:sz="0" w:space="0" w:color="auto"/>
        <w:left w:val="none" w:sz="0" w:space="0" w:color="auto"/>
        <w:bottom w:val="none" w:sz="0" w:space="0" w:color="auto"/>
        <w:right w:val="none" w:sz="0" w:space="0" w:color="auto"/>
      </w:divBdr>
    </w:div>
    <w:div w:id="1260604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nice.org.uk/guidance/ng3"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kingsfund.org.uk/publications/population-health-systems/kaiser-permanente-united-state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5.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9758A89B47AD42B541D11F5ABE66E2" ma:contentTypeVersion="20" ma:contentTypeDescription="Create a new document." ma:contentTypeScope="" ma:versionID="5dc3fccabf4c018c1c5f4a3d8fd74ae5">
  <xsd:schema xmlns:xsd="http://www.w3.org/2001/XMLSchema" xmlns:xs="http://www.w3.org/2001/XMLSchema" xmlns:p="http://schemas.microsoft.com/office/2006/metadata/properties" xmlns:ns1="http://schemas.microsoft.com/sharepoint/v3" xmlns:ns2="e9338659-17b1-4f8a-8d25-7cec498f5085" xmlns:ns3="4e8ed25f-e524-462f-a0f4-a9a24ef012cf" targetNamespace="http://schemas.microsoft.com/office/2006/metadata/properties" ma:root="true" ma:fieldsID="aa192cf6bbb0b13c2c671fb3a7643d61" ns1:_="" ns2:_="" ns3:_="">
    <xsd:import namespace="http://schemas.microsoft.com/sharepoint/v3"/>
    <xsd:import namespace="e9338659-17b1-4f8a-8d25-7cec498f5085"/>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38659-17b1-4f8a-8d25-7cec498f50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schemas.microsoft.com/office/infopath/2007/PartnerControls"/>
    <ds:schemaRef ds:uri="http://schemas.microsoft.com/office/2006/documentManagement/types"/>
    <ds:schemaRef ds:uri="http://purl.org/dc/terms/"/>
    <ds:schemaRef ds:uri="4e8ed25f-e524-462f-a0f4-a9a24ef012cf"/>
    <ds:schemaRef ds:uri="http://schemas.microsoft.com/office/2006/metadata/properties"/>
    <ds:schemaRef ds:uri="http://purl.org/dc/dcmitype/"/>
    <ds:schemaRef ds:uri="http://purl.org/dc/elements/1.1/"/>
    <ds:schemaRef ds:uri="http://schemas.openxmlformats.org/package/2006/metadata/core-properties"/>
    <ds:schemaRef ds:uri="e9338659-17b1-4f8a-8d25-7cec498f5085"/>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B8937E73-AEFE-47B7-B6E8-DE63BB837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38659-17b1-4f8a-8d25-7cec498f5085"/>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LLOYD, Diane (NHS ENGLAND)</lastModifiedBy>
  <revision>15</revision>
  <lastPrinted>2021-01-11T19:40:00.0000000Z</lastPrinted>
  <dcterms:created xsi:type="dcterms:W3CDTF">2024-06-19T16:20:00.0000000Z</dcterms:created>
  <dcterms:modified xsi:type="dcterms:W3CDTF">2025-06-02T11:00:01.0842322Z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0x010100499758A89B47AD42B541D11F5ABE66E2</vt:lpwstr>
  </property>
  <property fmtid="{D5CDD505-2E9C-101B-9397-08002B2CF9AE}" pid="3" name="MediaServiceImageTags">
    <vt:lpwstr/>
  </property>
  <property fmtid="{D5CDD505-2E9C-101B-9397-08002B2CF9AE}" pid="4" name="Order">
    <vt:r8>1607300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