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jc w:val="center"/>
      </w:pPr>
      <w:r>
        <w:rPr>
          <w:rFonts w:ascii="Arial" w:cs="Arial" w:eastAsia="Arial" w:hAnsi="Arial"/>
          <w:b/>
          <w:bCs/>
          <w:color w:val="1F5C8B"/>
          <w:sz w:val="40"/>
          <w:szCs w:val="40"/>
        </w:rPr>
        <w:t xml:space="preserve">Community Champion</w:t>
      </w:r>
    </w:p>
    <w:p>
      <w:pPr>
        <w:spacing w:after="400" w:before="0"/>
        <w:jc w:val="center"/>
      </w:pPr>
      <w:r>
        <w:rPr>
          <w:rFonts w:ascii="Arial" w:cs="Arial" w:eastAsia="Arial" w:hAnsi="Arial"/>
          <w:b/>
          <w:bCs/>
          <w:color w:val="2E75B6"/>
          <w:sz w:val="28"/>
          <w:szCs w:val="28"/>
        </w:rPr>
        <w:t xml:space="preserve">Candidate Guidance Notes</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1F5C8B" w:sz="6"/>
              <w:left w:val="single" w:color="1F5C8B" w:sz="6"/>
              <w:bottom w:val="single" w:color="1F5C8B" w:sz="6"/>
              <w:right w:val="single" w:color="1F5C8B" w:sz="6"/>
            </w:tcBorders>
            <w:shd w:fill="EBF3FB" w:val="clear"/>
            <w:tcMar>
              <w:top w:type="dxa" w:w="120"/>
              <w:left w:type="dxa" w:w="200"/>
              <w:bottom w:type="dxa" w:w="120"/>
              <w:right w:type="dxa" w:w="200"/>
            </w:tcMar>
          </w:tcPr>
          <w:p>
            <w:pPr>
              <w:spacing w:after="80" w:before="0"/>
            </w:pPr>
            <w:r>
              <w:rPr>
                <w:rFonts w:ascii="Arial" w:cs="Arial" w:eastAsia="Arial" w:hAnsi="Arial"/>
                <w:b/>
                <w:bCs/>
                <w:color w:val="1F5C8B"/>
                <w:sz w:val="22"/>
                <w:szCs w:val="22"/>
              </w:rPr>
              <w:t xml:space="preserve">Welcome</w:t>
            </w:r>
          </w:p>
          <w:p>
            <w:pPr>
              <w:spacing w:after="0" w:before="0"/>
            </w:pPr>
            <w:r>
              <w:rPr>
                <w:rFonts w:ascii="Arial" w:cs="Arial" w:eastAsia="Arial" w:hAnsi="Arial"/>
                <w:sz w:val="20"/>
                <w:szCs w:val="20"/>
              </w:rPr>
              <w:t xml:space="preserve">Thank you for your interest in the Community Champion role at Education Support Services. We are committed to a fair, consistent and transparent recruitment process. These guidance notes explain what to expect and how to make the most of your application.</w:t>
            </w:r>
          </w:p>
        </w:tc>
      </w:tr>
    </w:tbl>
    <w:p>
      <w:pPr>
        <w:spacing w:before="240"/>
      </w:pPr>
    </w:p>
    <w:p>
      <w:pPr>
        <w:pBdr>
          <w:bottom w:val="single" w:color="1F5C8B" w:sz="6" w:space="4"/>
        </w:pBdr>
        <w:spacing w:after="120" w:before="280"/>
      </w:pPr>
      <w:r>
        <w:rPr>
          <w:rFonts w:ascii="Arial" w:cs="Arial" w:eastAsia="Arial" w:hAnsi="Arial"/>
          <w:b/>
          <w:bCs/>
          <w:color w:val="1F5C8B"/>
          <w:sz w:val="26"/>
          <w:szCs w:val="26"/>
        </w:rPr>
        <w:t xml:space="preserve">1. Why Fairer Recruitment Matters</w:t>
      </w:r>
    </w:p>
    <w:p>
      <w:pPr>
        <w:pStyle w:val="ListParagraph"/>
        <w:numPr>
          <w:ilvl w:val="0"/>
          <w:numId w:val="2"/>
        </w:numPr>
        <w:spacing w:after="60" w:before="60"/>
      </w:pPr>
      <w:r>
        <w:rPr>
          <w:rFonts w:ascii="Arial" w:cs="Arial" w:eastAsia="Arial" w:hAnsi="Arial"/>
          <w:sz w:val="20"/>
          <w:szCs w:val="20"/>
        </w:rPr>
        <w:t xml:space="preserve">Ensures all candidates are assessed consistently against the same criteria</w:t>
      </w:r>
    </w:p>
    <w:p>
      <w:pPr>
        <w:pStyle w:val="ListParagraph"/>
        <w:numPr>
          <w:ilvl w:val="0"/>
          <w:numId w:val="2"/>
        </w:numPr>
        <w:spacing w:after="60" w:before="60"/>
      </w:pPr>
      <w:r>
        <w:rPr>
          <w:rFonts w:ascii="Arial" w:cs="Arial" w:eastAsia="Arial" w:hAnsi="Arial"/>
          <w:sz w:val="20"/>
          <w:szCs w:val="20"/>
        </w:rPr>
        <w:t xml:space="preserve">Creates a diverse and inclusive workforce</w:t>
      </w:r>
    </w:p>
    <w:p>
      <w:pPr>
        <w:pStyle w:val="ListParagraph"/>
        <w:numPr>
          <w:ilvl w:val="0"/>
          <w:numId w:val="2"/>
        </w:numPr>
        <w:spacing w:after="60" w:before="60"/>
      </w:pPr>
      <w:r>
        <w:rPr>
          <w:rFonts w:ascii="Arial" w:cs="Arial" w:eastAsia="Arial" w:hAnsi="Arial"/>
          <w:sz w:val="20"/>
          <w:szCs w:val="20"/>
        </w:rPr>
        <w:t xml:space="preserve">Maintains the trust and integrity of our organisation</w:t>
      </w:r>
    </w:p>
    <w:p>
      <w:pPr>
        <w:pStyle w:val="ListParagraph"/>
        <w:numPr>
          <w:ilvl w:val="0"/>
          <w:numId w:val="2"/>
        </w:numPr>
        <w:spacing w:after="60" w:before="60"/>
      </w:pPr>
      <w:r>
        <w:rPr>
          <w:rFonts w:ascii="Arial" w:cs="Arial" w:eastAsia="Arial" w:hAnsi="Arial"/>
          <w:sz w:val="20"/>
          <w:szCs w:val="20"/>
        </w:rPr>
        <w:t xml:space="preserve">Gives every applicant a fair opportunity to demonstrate their suitability</w:t>
      </w:r>
    </w:p>
    <w:p>
      <w:pPr>
        <w:spacing w:before="160"/>
      </w:pPr>
    </w:p>
    <w:p>
      <w:pPr>
        <w:pBdr>
          <w:bottom w:val="single" w:color="1F5C8B" w:sz="6" w:space="4"/>
        </w:pBdr>
        <w:spacing w:after="120" w:before="280"/>
      </w:pPr>
      <w:r>
        <w:rPr>
          <w:rFonts w:ascii="Arial" w:cs="Arial" w:eastAsia="Arial" w:hAnsi="Arial"/>
          <w:b/>
          <w:bCs/>
          <w:color w:val="1F5C8B"/>
          <w:sz w:val="26"/>
          <w:szCs w:val="26"/>
        </w:rPr>
        <w:t xml:space="preserve">2. What You’ll Be Asked to Provide</w:t>
      </w:r>
    </w:p>
    <w:p>
      <w:pPr>
        <w:spacing w:after="60" w:before="60"/>
      </w:pPr>
      <w:r>
        <w:rPr>
          <w:rFonts w:ascii="Arial" w:cs="Arial" w:eastAsia="Arial" w:hAnsi="Arial"/>
          <w:b/>
          <w:bCs/>
          <w:sz w:val="20"/>
          <w:szCs w:val="20"/>
        </w:rPr>
        <w:t xml:space="preserve">Personal details:</w:t>
      </w:r>
    </w:p>
    <w:p>
      <w:pPr>
        <w:spacing w:after="60" w:before="60"/>
      </w:pPr>
      <w:r>
        <w:rPr>
          <w:rFonts w:ascii="Arial" w:cs="Arial" w:eastAsia="Arial" w:hAnsi="Arial"/>
          <w:b w:val="false"/>
          <w:bCs w:val="false"/>
          <w:sz w:val="20"/>
          <w:szCs w:val="20"/>
        </w:rPr>
        <w:t xml:space="preserve">Standard information including name, address, contact details, and right to work in the UK.</w:t>
      </w:r>
    </w:p>
    <w:p>
      <w:pPr>
        <w:spacing w:before="80"/>
      </w:pPr>
    </w:p>
    <w:p>
      <w:pPr>
        <w:spacing w:after="60" w:before="60"/>
      </w:pPr>
      <w:r>
        <w:rPr>
          <w:rFonts w:ascii="Arial" w:cs="Arial" w:eastAsia="Arial" w:hAnsi="Arial"/>
          <w:b/>
          <w:bCs/>
          <w:sz w:val="20"/>
          <w:szCs w:val="20"/>
        </w:rPr>
        <w:t xml:space="preserve">Employment history:</w:t>
      </w:r>
    </w:p>
    <w:p>
      <w:pPr>
        <w:spacing w:after="60" w:before="60"/>
      </w:pPr>
      <w:r>
        <w:rPr>
          <w:rFonts w:ascii="Arial" w:cs="Arial" w:eastAsia="Arial" w:hAnsi="Arial"/>
          <w:b w:val="false"/>
          <w:bCs w:val="false"/>
          <w:sz w:val="20"/>
          <w:szCs w:val="20"/>
        </w:rPr>
        <w:t xml:space="preserve">A full employment history, including explanations for any gaps in your work record.</w:t>
      </w:r>
    </w:p>
    <w:p>
      <w:pPr>
        <w:spacing w:before="80"/>
      </w:pPr>
    </w:p>
    <w:p>
      <w:pPr>
        <w:spacing w:after="60" w:before="60"/>
      </w:pPr>
      <w:r>
        <w:rPr>
          <w:rFonts w:ascii="Arial" w:cs="Arial" w:eastAsia="Arial" w:hAnsi="Arial"/>
          <w:b/>
          <w:bCs/>
          <w:sz w:val="20"/>
          <w:szCs w:val="20"/>
        </w:rPr>
        <w:t xml:space="preserve">Qualifications:</w:t>
      </w:r>
    </w:p>
    <w:p>
      <w:pPr>
        <w:spacing w:after="60" w:before="60"/>
      </w:pPr>
      <w:r>
        <w:rPr>
          <w:rFonts w:ascii="Arial" w:cs="Arial" w:eastAsia="Arial" w:hAnsi="Arial"/>
          <w:b w:val="false"/>
          <w:bCs w:val="false"/>
          <w:sz w:val="20"/>
          <w:szCs w:val="20"/>
        </w:rPr>
        <w:t xml:space="preserve">Details of relevant qualifications and evidence where required.</w:t>
      </w:r>
    </w:p>
    <w:p>
      <w:pPr>
        <w:spacing w:before="80"/>
      </w:pPr>
    </w:p>
    <w:p>
      <w:pPr>
        <w:spacing w:after="60" w:before="60"/>
      </w:pPr>
      <w:r>
        <w:rPr>
          <w:rFonts w:ascii="Arial" w:cs="Arial" w:eastAsia="Arial" w:hAnsi="Arial"/>
          <w:b/>
          <w:bCs/>
          <w:sz w:val="20"/>
          <w:szCs w:val="20"/>
        </w:rPr>
        <w:t xml:space="preserve">Online presence:</w:t>
      </w:r>
    </w:p>
    <w:p>
      <w:pPr>
        <w:spacing w:after="60" w:before="60"/>
      </w:pPr>
      <w:r>
        <w:rPr>
          <w:rFonts w:ascii="Arial" w:cs="Arial" w:eastAsia="Arial" w:hAnsi="Arial"/>
          <w:b w:val="false"/>
          <w:bCs w:val="false"/>
          <w:sz w:val="20"/>
          <w:szCs w:val="20"/>
        </w:rPr>
        <w:t xml:space="preserve">You will be asked to list social media platforms, account names (including pseudonyms), and any websites you own or appear on. Only publicly available information is reviewed, as part of our consistent recruitment process.</w:t>
      </w:r>
    </w:p>
    <w:p>
      <w:pPr>
        <w:spacing w:before="80"/>
      </w:pPr>
    </w:p>
    <w:p>
      <w:pPr>
        <w:spacing w:after="60" w:before="60"/>
      </w:pPr>
      <w:r>
        <w:rPr>
          <w:rFonts w:ascii="Arial" w:cs="Arial" w:eastAsia="Arial" w:hAnsi="Arial"/>
          <w:b/>
          <w:bCs/>
          <w:sz w:val="20"/>
          <w:szCs w:val="20"/>
        </w:rPr>
        <w:t xml:space="preserve">Supporting statement:</w:t>
      </w:r>
    </w:p>
    <w:p>
      <w:pPr>
        <w:spacing w:after="60" w:before="60"/>
      </w:pPr>
      <w:r>
        <w:rPr>
          <w:rFonts w:ascii="Arial" w:cs="Arial" w:eastAsia="Arial" w:hAnsi="Arial"/>
          <w:b w:val="false"/>
          <w:bCs w:val="false"/>
          <w:sz w:val="20"/>
          <w:szCs w:val="20"/>
        </w:rPr>
        <w:t xml:space="preserve">You will be asked to explain why you are applying and how your experience and skills match the requirements of the job description and person specification. Take time to structure your response against the key criteria listed.</w:t>
      </w:r>
    </w:p>
    <w:p>
      <w:pPr>
        <w:spacing w:before="160"/>
      </w:pPr>
    </w:p>
    <w:p>
      <w:pPr>
        <w:pBdr>
          <w:bottom w:val="single" w:color="1F5C8B" w:sz="6" w:space="4"/>
        </w:pBdr>
        <w:spacing w:after="120" w:before="280"/>
      </w:pPr>
      <w:r>
        <w:rPr>
          <w:rFonts w:ascii="Arial" w:cs="Arial" w:eastAsia="Arial" w:hAnsi="Arial"/>
          <w:b/>
          <w:bCs/>
          <w:color w:val="1F5C8B"/>
          <w:sz w:val="26"/>
          <w:szCs w:val="26"/>
        </w:rPr>
        <w:t xml:space="preserve">3. Pre-Employment Checks</w:t>
      </w:r>
    </w:p>
    <w:p>
      <w:pPr>
        <w:spacing w:after="60" w:before="60"/>
      </w:pPr>
      <w:r>
        <w:rPr>
          <w:rFonts w:ascii="Arial" w:cs="Arial" w:eastAsia="Arial" w:hAnsi="Arial"/>
          <w:b w:val="false"/>
          <w:bCs w:val="false"/>
          <w:sz w:val="20"/>
          <w:szCs w:val="20"/>
        </w:rPr>
        <w:t xml:space="preserve">The Community Champion role does not involve direct contact with learners and therefore does not require a DBS check. The following standard checks apply:</w:t>
      </w:r>
    </w:p>
    <w:p>
      <w:pPr>
        <w:spacing w:before="80"/>
      </w:pPr>
    </w:p>
    <w:p>
      <w:pPr>
        <w:pStyle w:val="ListParagraph"/>
        <w:numPr>
          <w:ilvl w:val="0"/>
          <w:numId w:val="2"/>
        </w:numPr>
        <w:spacing w:after="60" w:before="60"/>
      </w:pPr>
      <w:r>
        <w:rPr>
          <w:rFonts w:ascii="Arial" w:cs="Arial" w:eastAsia="Arial" w:hAnsi="Arial"/>
          <w:sz w:val="20"/>
          <w:szCs w:val="20"/>
        </w:rPr>
        <w:t xml:space="preserve">Criminal record self-declaration: You will be asked to declare any unspent criminal convictions. Having a criminal record does not automatically prevent employment; all disclosures are assessed fairly and in context, in line with our Recruitment Policy.</w:t>
      </w:r>
    </w:p>
    <w:p>
      <w:pPr>
        <w:pStyle w:val="ListParagraph"/>
        <w:numPr>
          <w:ilvl w:val="0"/>
          <w:numId w:val="2"/>
        </w:numPr>
        <w:spacing w:after="60" w:before="60"/>
      </w:pPr>
      <w:r>
        <w:rPr>
          <w:rFonts w:ascii="Arial" w:cs="Arial" w:eastAsia="Arial" w:hAnsi="Arial"/>
          <w:sz w:val="20"/>
          <w:szCs w:val="20"/>
        </w:rPr>
        <w:t xml:space="preserve">Right to work check: You will be required to evidence your right to work in the UK before a formal offer is made.</w:t>
      </w:r>
    </w:p>
    <w:p>
      <w:pPr>
        <w:pStyle w:val="ListParagraph"/>
        <w:numPr>
          <w:ilvl w:val="0"/>
          <w:numId w:val="2"/>
        </w:numPr>
        <w:spacing w:after="60" w:before="60"/>
      </w:pPr>
      <w:r>
        <w:rPr>
          <w:rFonts w:ascii="Arial" w:cs="Arial" w:eastAsia="Arial" w:hAnsi="Arial"/>
          <w:sz w:val="20"/>
          <w:szCs w:val="20"/>
        </w:rPr>
        <w:t xml:space="preserve">Reference checks: Two referees are required, including your current or most recent employer. References are taken up following a conditional offer.</w:t>
      </w:r>
    </w:p>
    <w:p>
      <w:pPr>
        <w:spacing w:before="12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1F5C8B" w:sz="6"/>
              <w:left w:val="single" w:color="1F5C8B" w:sz="6"/>
              <w:bottom w:val="single" w:color="1F5C8B" w:sz="6"/>
              <w:right w:val="single" w:color="1F5C8B" w:sz="6"/>
            </w:tcBorders>
            <w:shd w:fill="EBF3FB" w:val="clear"/>
            <w:tcMar>
              <w:top w:type="dxa" w:w="120"/>
              <w:left w:type="dxa" w:w="200"/>
              <w:bottom w:type="dxa" w:w="120"/>
              <w:right w:type="dxa" w:w="200"/>
            </w:tcMar>
          </w:tcPr>
          <w:p>
            <w:pPr>
              <w:spacing w:after="80" w:before="0"/>
            </w:pPr>
            <w:r>
              <w:rPr>
                <w:rFonts w:ascii="Arial" w:cs="Arial" w:eastAsia="Arial" w:hAnsi="Arial"/>
                <w:b/>
                <w:bCs/>
                <w:color w:val="1F5C8B"/>
                <w:sz w:val="22"/>
                <w:szCs w:val="22"/>
              </w:rPr>
              <w:t xml:space="preserve">Please note</w:t>
            </w:r>
          </w:p>
          <w:p>
            <w:pPr>
              <w:spacing w:after="0" w:before="0"/>
            </w:pPr>
            <w:r>
              <w:rPr>
                <w:rFonts w:ascii="Arial" w:cs="Arial" w:eastAsia="Arial" w:hAnsi="Arial"/>
                <w:sz w:val="20"/>
                <w:szCs w:val="20"/>
              </w:rPr>
              <w:t xml:space="preserve">If you have any concerns about a previous conviction, please be open and honest on your application. ESS considers each case individually, taking into account the nature of the conviction, the time elapsed, and the relevance to the role.</w:t>
            </w:r>
          </w:p>
        </w:tc>
      </w:tr>
    </w:tbl>
    <w:p>
      <w:pPr>
        <w:spacing w:before="160"/>
      </w:pPr>
    </w:p>
    <w:p>
      <w:pPr>
        <w:pBdr>
          <w:bottom w:val="single" w:color="1F5C8B" w:sz="6" w:space="4"/>
        </w:pBdr>
        <w:spacing w:after="120" w:before="280"/>
      </w:pPr>
      <w:r>
        <w:rPr>
          <w:rFonts w:ascii="Arial" w:cs="Arial" w:eastAsia="Arial" w:hAnsi="Arial"/>
          <w:b/>
          <w:bCs/>
          <w:color w:val="1F5C8B"/>
          <w:sz w:val="26"/>
          <w:szCs w:val="26"/>
        </w:rPr>
        <w:t xml:space="preserve">4. How Your Data Is Used</w:t>
      </w:r>
    </w:p>
    <w:p>
      <w:pPr>
        <w:pStyle w:val="ListParagraph"/>
        <w:numPr>
          <w:ilvl w:val="0"/>
          <w:numId w:val="2"/>
        </w:numPr>
        <w:spacing w:after="60" w:before="60"/>
      </w:pPr>
      <w:r>
        <w:rPr>
          <w:rFonts w:ascii="Arial" w:cs="Arial" w:eastAsia="Arial" w:hAnsi="Arial"/>
          <w:sz w:val="20"/>
          <w:szCs w:val="20"/>
        </w:rPr>
        <w:t xml:space="preserve">Used only for recruitment purposes</w:t>
      </w:r>
    </w:p>
    <w:p>
      <w:pPr>
        <w:pStyle w:val="ListParagraph"/>
        <w:numPr>
          <w:ilvl w:val="0"/>
          <w:numId w:val="2"/>
        </w:numPr>
        <w:spacing w:after="60" w:before="60"/>
      </w:pPr>
      <w:r>
        <w:rPr>
          <w:rFonts w:ascii="Arial" w:cs="Arial" w:eastAsia="Arial" w:hAnsi="Arial"/>
          <w:sz w:val="20"/>
          <w:szCs w:val="20"/>
        </w:rPr>
        <w:t xml:space="preserve">Stored securely and only accessible to authorised staff</w:t>
      </w:r>
    </w:p>
    <w:p>
      <w:pPr>
        <w:pStyle w:val="ListParagraph"/>
        <w:numPr>
          <w:ilvl w:val="0"/>
          <w:numId w:val="2"/>
        </w:numPr>
        <w:spacing w:after="60" w:before="60"/>
      </w:pPr>
      <w:r>
        <w:rPr>
          <w:rFonts w:ascii="Arial" w:cs="Arial" w:eastAsia="Arial" w:hAnsi="Arial"/>
          <w:sz w:val="20"/>
          <w:szCs w:val="20"/>
        </w:rPr>
        <w:t xml:space="preserve">Retained for six months if your application is unsuccessful</w:t>
      </w:r>
    </w:p>
    <w:p>
      <w:pPr>
        <w:pStyle w:val="ListParagraph"/>
        <w:numPr>
          <w:ilvl w:val="0"/>
          <w:numId w:val="2"/>
        </w:numPr>
        <w:spacing w:after="60" w:before="60"/>
      </w:pPr>
      <w:r>
        <w:rPr>
          <w:rFonts w:ascii="Arial" w:cs="Arial" w:eastAsia="Arial" w:hAnsi="Arial"/>
          <w:sz w:val="20"/>
          <w:szCs w:val="20"/>
        </w:rPr>
        <w:t xml:space="preserve">Added to your personnel file if you are appointed</w:t>
      </w:r>
    </w:p>
    <w:p>
      <w:pPr>
        <w:pStyle w:val="ListParagraph"/>
        <w:numPr>
          <w:ilvl w:val="0"/>
          <w:numId w:val="2"/>
        </w:numPr>
        <w:spacing w:after="60" w:before="60"/>
      </w:pPr>
      <w:r>
        <w:rPr>
          <w:rFonts w:ascii="Arial" w:cs="Arial" w:eastAsia="Arial" w:hAnsi="Arial"/>
          <w:sz w:val="20"/>
          <w:szCs w:val="20"/>
        </w:rPr>
        <w:t xml:space="preserve">Never shared with third parties outside the recruitment process</w:t>
      </w:r>
    </w:p>
    <w:p>
      <w:pPr>
        <w:spacing w:before="160"/>
      </w:pPr>
    </w:p>
    <w:p>
      <w:pPr>
        <w:pBdr>
          <w:bottom w:val="single" w:color="1F5C8B" w:sz="6" w:space="4"/>
        </w:pBdr>
        <w:spacing w:after="120" w:before="280"/>
      </w:pPr>
      <w:r>
        <w:rPr>
          <w:rFonts w:ascii="Arial" w:cs="Arial" w:eastAsia="Arial" w:hAnsi="Arial"/>
          <w:b/>
          <w:bCs/>
          <w:color w:val="1F5C8B"/>
          <w:sz w:val="26"/>
          <w:szCs w:val="26"/>
        </w:rPr>
        <w:t xml:space="preserve">5. What Happens After You Apply</w:t>
      </w:r>
    </w:p>
    <w:p>
      <w:pPr>
        <w:spacing w:after="80" w:before="80"/>
      </w:pPr>
      <w:r>
        <w:rPr>
          <w:rFonts w:ascii="Arial" w:cs="Arial" w:eastAsia="Arial" w:hAnsi="Arial"/>
          <w:b/>
          <w:bCs/>
          <w:color w:val="1F5C8B"/>
          <w:sz w:val="20"/>
          <w:szCs w:val="20"/>
        </w:rPr>
        <w:t xml:space="preserve">1.  </w:t>
      </w:r>
      <w:r>
        <w:rPr>
          <w:rFonts w:ascii="Arial" w:cs="Arial" w:eastAsia="Arial" w:hAnsi="Arial"/>
          <w:sz w:val="20"/>
          <w:szCs w:val="20"/>
        </w:rPr>
        <w:t xml:space="preserve">Application review – shortlisting against the job description and person specification</w:t>
      </w:r>
    </w:p>
    <w:p>
      <w:pPr>
        <w:spacing w:after="80" w:before="80"/>
      </w:pPr>
      <w:r>
        <w:rPr>
          <w:rFonts w:ascii="Arial" w:cs="Arial" w:eastAsia="Arial" w:hAnsi="Arial"/>
          <w:b/>
          <w:bCs/>
          <w:color w:val="1F5C8B"/>
          <w:sz w:val="20"/>
          <w:szCs w:val="20"/>
        </w:rPr>
        <w:t xml:space="preserve">2.  </w:t>
      </w:r>
      <w:r>
        <w:rPr>
          <w:rFonts w:ascii="Arial" w:cs="Arial" w:eastAsia="Arial" w:hAnsi="Arial"/>
          <w:sz w:val="20"/>
          <w:szCs w:val="20"/>
        </w:rPr>
        <w:t xml:space="preserve">Shortlisting notification</w:t>
      </w:r>
    </w:p>
    <w:p>
      <w:pPr>
        <w:spacing w:after="80" w:before="80"/>
      </w:pPr>
      <w:r>
        <w:rPr>
          <w:rFonts w:ascii="Arial" w:cs="Arial" w:eastAsia="Arial" w:hAnsi="Arial"/>
          <w:b/>
          <w:bCs/>
          <w:color w:val="1F5C8B"/>
          <w:sz w:val="20"/>
          <w:szCs w:val="20"/>
        </w:rPr>
        <w:t xml:space="preserve">3.  </w:t>
      </w:r>
      <w:r>
        <w:rPr>
          <w:rFonts w:ascii="Arial" w:cs="Arial" w:eastAsia="Arial" w:hAnsi="Arial"/>
          <w:sz w:val="20"/>
          <w:szCs w:val="20"/>
        </w:rPr>
        <w:t xml:space="preserve">Online search (shortlisted candidates only)</w:t>
      </w:r>
    </w:p>
    <w:p>
      <w:pPr>
        <w:spacing w:after="80" w:before="80"/>
      </w:pPr>
      <w:r>
        <w:rPr>
          <w:rFonts w:ascii="Arial" w:cs="Arial" w:eastAsia="Arial" w:hAnsi="Arial"/>
          <w:b/>
          <w:bCs/>
          <w:color w:val="1F5C8B"/>
          <w:sz w:val="20"/>
          <w:szCs w:val="20"/>
        </w:rPr>
        <w:t xml:space="preserve">4.  </w:t>
      </w:r>
      <w:r>
        <w:rPr>
          <w:rFonts w:ascii="Arial" w:cs="Arial" w:eastAsia="Arial" w:hAnsi="Arial"/>
          <w:sz w:val="20"/>
          <w:szCs w:val="20"/>
        </w:rPr>
        <w:t xml:space="preserve">Interview</w:t>
      </w:r>
    </w:p>
    <w:p>
      <w:pPr>
        <w:spacing w:after="80" w:before="80"/>
      </w:pPr>
      <w:r>
        <w:rPr>
          <w:rFonts w:ascii="Arial" w:cs="Arial" w:eastAsia="Arial" w:hAnsi="Arial"/>
          <w:b/>
          <w:bCs/>
          <w:color w:val="1F5C8B"/>
          <w:sz w:val="20"/>
          <w:szCs w:val="20"/>
        </w:rPr>
        <w:t xml:space="preserve">5.  </w:t>
      </w:r>
      <w:r>
        <w:rPr>
          <w:rFonts w:ascii="Arial" w:cs="Arial" w:eastAsia="Arial" w:hAnsi="Arial"/>
          <w:sz w:val="20"/>
          <w:szCs w:val="20"/>
        </w:rPr>
        <w:t xml:space="preserve">Conditional offer</w:t>
      </w:r>
    </w:p>
    <w:p>
      <w:pPr>
        <w:spacing w:after="80" w:before="80"/>
      </w:pPr>
      <w:r>
        <w:rPr>
          <w:rFonts w:ascii="Arial" w:cs="Arial" w:eastAsia="Arial" w:hAnsi="Arial"/>
          <w:b/>
          <w:bCs/>
          <w:color w:val="1F5C8B"/>
          <w:sz w:val="20"/>
          <w:szCs w:val="20"/>
        </w:rPr>
        <w:t xml:space="preserve">6.  </w:t>
      </w:r>
      <w:r>
        <w:rPr>
          <w:rFonts w:ascii="Arial" w:cs="Arial" w:eastAsia="Arial" w:hAnsi="Arial"/>
          <w:sz w:val="20"/>
          <w:szCs w:val="20"/>
        </w:rPr>
        <w:t xml:space="preserve">Pre-employment checks (right to work, references, criminal record declaration)</w:t>
      </w:r>
    </w:p>
    <w:p>
      <w:pPr>
        <w:spacing w:after="80" w:before="80"/>
      </w:pPr>
      <w:r>
        <w:rPr>
          <w:rFonts w:ascii="Arial" w:cs="Arial" w:eastAsia="Arial" w:hAnsi="Arial"/>
          <w:b/>
          <w:bCs/>
          <w:color w:val="1F5C8B"/>
          <w:sz w:val="20"/>
          <w:szCs w:val="20"/>
        </w:rPr>
        <w:t xml:space="preserve">7.  </w:t>
      </w:r>
      <w:r>
        <w:rPr>
          <w:rFonts w:ascii="Arial" w:cs="Arial" w:eastAsia="Arial" w:hAnsi="Arial"/>
          <w:sz w:val="20"/>
          <w:szCs w:val="20"/>
        </w:rPr>
        <w:t xml:space="preserve">Final offer and onboarding</w:t>
      </w:r>
    </w:p>
    <w:p>
      <w:pPr>
        <w:spacing w:before="160"/>
      </w:pPr>
    </w:p>
    <w:p>
      <w:pPr>
        <w:pBdr>
          <w:bottom w:val="single" w:color="1F5C8B" w:sz="6" w:space="4"/>
        </w:pBdr>
        <w:spacing w:after="120" w:before="280"/>
      </w:pPr>
      <w:r>
        <w:rPr>
          <w:rFonts w:ascii="Arial" w:cs="Arial" w:eastAsia="Arial" w:hAnsi="Arial"/>
          <w:b/>
          <w:bCs/>
          <w:color w:val="1F5C8B"/>
          <w:sz w:val="26"/>
          <w:szCs w:val="26"/>
        </w:rPr>
        <w:t xml:space="preserve">6. Tips for a Strong Application</w:t>
      </w:r>
    </w:p>
    <w:p>
      <w:pPr>
        <w:pStyle w:val="ListParagraph"/>
        <w:numPr>
          <w:ilvl w:val="0"/>
          <w:numId w:val="2"/>
        </w:numPr>
        <w:spacing w:after="60" w:before="60"/>
      </w:pPr>
      <w:r>
        <w:rPr>
          <w:rFonts w:ascii="Arial" w:cs="Arial" w:eastAsia="Arial" w:hAnsi="Arial"/>
          <w:sz w:val="20"/>
          <w:szCs w:val="20"/>
        </w:rPr>
        <w:t xml:space="preserve">Read the job description and person specification carefully before completing your application</w:t>
      </w:r>
    </w:p>
    <w:p>
      <w:pPr>
        <w:pStyle w:val="ListParagraph"/>
        <w:numPr>
          <w:ilvl w:val="0"/>
          <w:numId w:val="2"/>
        </w:numPr>
        <w:spacing w:after="60" w:before="60"/>
      </w:pPr>
      <w:r>
        <w:rPr>
          <w:rFonts w:ascii="Arial" w:cs="Arial" w:eastAsia="Arial" w:hAnsi="Arial"/>
          <w:sz w:val="20"/>
          <w:szCs w:val="20"/>
        </w:rPr>
        <w:t xml:space="preserve">Use your supporting statement to directly address the skills and experience listed in the person specification</w:t>
      </w:r>
    </w:p>
    <w:p>
      <w:pPr>
        <w:pStyle w:val="ListParagraph"/>
        <w:numPr>
          <w:ilvl w:val="0"/>
          <w:numId w:val="2"/>
        </w:numPr>
        <w:spacing w:after="60" w:before="60"/>
      </w:pPr>
      <w:r>
        <w:rPr>
          <w:rFonts w:ascii="Arial" w:cs="Arial" w:eastAsia="Arial" w:hAnsi="Arial"/>
          <w:sz w:val="20"/>
          <w:szCs w:val="20"/>
        </w:rPr>
        <w:t xml:space="preserve">Provide specific examples wherever possible – use the STAR method (Situation, Task, Action, Result)</w:t>
      </w:r>
    </w:p>
    <w:p>
      <w:pPr>
        <w:pStyle w:val="ListParagraph"/>
        <w:numPr>
          <w:ilvl w:val="0"/>
          <w:numId w:val="2"/>
        </w:numPr>
        <w:spacing w:after="60" w:before="60"/>
      </w:pPr>
      <w:r>
        <w:rPr>
          <w:rFonts w:ascii="Arial" w:cs="Arial" w:eastAsia="Arial" w:hAnsi="Arial"/>
          <w:sz w:val="20"/>
          <w:szCs w:val="20"/>
        </w:rPr>
        <w:t xml:space="preserve">Ensure all employment dates are accurate and explain any gaps in your history</w:t>
      </w:r>
    </w:p>
    <w:p>
      <w:pPr>
        <w:pStyle w:val="ListParagraph"/>
        <w:numPr>
          <w:ilvl w:val="0"/>
          <w:numId w:val="2"/>
        </w:numPr>
        <w:spacing w:after="60" w:before="60"/>
      </w:pPr>
      <w:r>
        <w:rPr>
          <w:rFonts w:ascii="Arial" w:cs="Arial" w:eastAsia="Arial" w:hAnsi="Arial"/>
          <w:sz w:val="20"/>
          <w:szCs w:val="20"/>
        </w:rPr>
        <w:t xml:space="preserve">Choose referees who can speak to your professional abilities and suitability for the role</w:t>
      </w:r>
    </w:p>
    <w:p>
      <w:pPr>
        <w:pStyle w:val="ListParagraph"/>
        <w:numPr>
          <w:ilvl w:val="0"/>
          <w:numId w:val="2"/>
        </w:numPr>
        <w:spacing w:after="60" w:before="60"/>
      </w:pPr>
      <w:r>
        <w:rPr>
          <w:rFonts w:ascii="Arial" w:cs="Arial" w:eastAsia="Arial" w:hAnsi="Arial"/>
          <w:sz w:val="20"/>
          <w:szCs w:val="20"/>
        </w:rPr>
        <w:t xml:space="preserve">Be open and honest throughout – if something concerns you, contact us to discuss</w:t>
      </w:r>
    </w:p>
    <w:p>
      <w:pPr>
        <w:spacing w:before="160"/>
      </w:pPr>
    </w:p>
    <w:p>
      <w:pPr>
        <w:pBdr>
          <w:bottom w:val="single" w:color="1F5C8B" w:sz="6" w:space="4"/>
        </w:pBdr>
        <w:spacing w:after="120" w:before="280"/>
      </w:pPr>
      <w:r>
        <w:rPr>
          <w:rFonts w:ascii="Arial" w:cs="Arial" w:eastAsia="Arial" w:hAnsi="Arial"/>
          <w:b/>
          <w:bCs/>
          <w:color w:val="1F5C8B"/>
          <w:sz w:val="26"/>
          <w:szCs w:val="26"/>
        </w:rPr>
        <w:t xml:space="preserve">7. Support &amp; Accessibility</w:t>
      </w:r>
    </w:p>
    <w:p>
      <w:pPr>
        <w:spacing w:after="60" w:before="60"/>
      </w:pPr>
      <w:r>
        <w:rPr>
          <w:rFonts w:ascii="Arial" w:cs="Arial" w:eastAsia="Arial" w:hAnsi="Arial"/>
          <w:b w:val="false"/>
          <w:bCs w:val="false"/>
          <w:sz w:val="20"/>
          <w:szCs w:val="20"/>
        </w:rPr>
        <w:t xml:space="preserve">We are committed to making our recruitment process as accessible as possible. If you require any adjustments to support your application or attendance at interview – for example, due to a disability, neurodivergence, or caring responsibilities – please contact Education Support Services and we will do our best to accommodate your needs.</w:t>
      </w:r>
    </w:p>
    <w:p>
      <w:pPr>
        <w:spacing w:before="24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1F5C8B" w:sz="6"/>
              <w:left w:val="single" w:color="1F5C8B" w:sz="6"/>
              <w:bottom w:val="single" w:color="1F5C8B" w:sz="6"/>
              <w:right w:val="single" w:color="1F5C8B" w:sz="6"/>
            </w:tcBorders>
            <w:shd w:fill="EBF3FB" w:val="clear"/>
            <w:tcMar>
              <w:top w:type="dxa" w:w="120"/>
              <w:left w:type="dxa" w:w="200"/>
              <w:bottom w:type="dxa" w:w="120"/>
              <w:right w:type="dxa" w:w="200"/>
            </w:tcMar>
          </w:tcPr>
          <w:p>
            <w:pPr>
              <w:spacing w:after="80" w:before="0"/>
            </w:pPr>
            <w:r>
              <w:rPr>
                <w:rFonts w:ascii="Arial" w:cs="Arial" w:eastAsia="Arial" w:hAnsi="Arial"/>
                <w:b/>
                <w:bCs/>
                <w:color w:val="1F5C8B"/>
                <w:sz w:val="22"/>
                <w:szCs w:val="22"/>
              </w:rPr>
              <w:t xml:space="preserve">Contact Us</w:t>
            </w:r>
          </w:p>
          <w:p>
            <w:pPr>
              <w:spacing w:after="0" w:before="0"/>
            </w:pPr>
            <w:r>
              <w:rPr>
                <w:rFonts w:ascii="Arial" w:cs="Arial" w:eastAsia="Arial" w:hAnsi="Arial"/>
                <w:sz w:val="20"/>
                <w:szCs w:val="20"/>
              </w:rPr>
              <w:t xml:space="preserve">If you have any questions about this role or the application process, please do not hesitate to get in touch with Education Support Services. We look forward to hearing from you.</w:t>
            </w:r>
          </w:p>
        </w:tc>
      </w:tr>
    </w:tbl>
    <w:p>
      <w:pPr>
        <w:spacing w:before="240"/>
      </w:pPr>
    </w:p>
    <w:p>
      <w:pPr>
        <w:jc w:val="center"/>
      </w:pPr>
      <w:r>
        <w:rPr>
          <w:rFonts w:ascii="Arial" w:cs="Arial" w:eastAsia="Arial" w:hAnsi="Arial"/>
          <w:i/>
          <w:iCs/>
          <w:color w:val="888888"/>
          <w:sz w:val="18"/>
          <w:szCs w:val="18"/>
        </w:rPr>
        <w:t xml:space="preserve">Education Support Services – Committed to Fair and Inclusive Recruitment</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2026-04-07T11:03:50.283Z</dcterms:created>
  <dcterms:modified xsi:type="dcterms:W3CDTF">2026-04-07T11:03:50.285Z</dcterms:modified>
</cp:coreProperties>
</file>

<file path=docProps/custom.xml><?xml version="1.0" encoding="utf-8"?>
<Properties xmlns="http://schemas.openxmlformats.org/officeDocument/2006/custom-properties" xmlns:vt="http://schemas.openxmlformats.org/officeDocument/2006/docPropsVTypes"/>
</file>